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i w:val="0"/>
          <w:caps w:val="0"/>
          <w:color w:val="245798"/>
          <w:spacing w:val="0"/>
          <w:sz w:val="27"/>
          <w:szCs w:val="27"/>
          <w:lang w:eastAsia="zh-CN"/>
        </w:rPr>
      </w:pPr>
      <w:r>
        <w:rPr>
          <w:rFonts w:hint="eastAsia" w:ascii="微软雅黑" w:hAnsi="微软雅黑" w:eastAsia="微软雅黑" w:cs="微软雅黑"/>
          <w:b/>
          <w:i w:val="0"/>
          <w:caps w:val="0"/>
          <w:color w:val="245798"/>
          <w:spacing w:val="0"/>
          <w:sz w:val="27"/>
          <w:szCs w:val="27"/>
          <w:lang w:eastAsia="zh-CN"/>
        </w:rPr>
        <w:t>成都市武侯区疾病预防控制中心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i w:val="0"/>
          <w:caps w:val="0"/>
          <w:color w:val="245798"/>
          <w:spacing w:val="0"/>
          <w:sz w:val="27"/>
          <w:szCs w:val="27"/>
          <w:lang w:val="en-US" w:eastAsia="zh-CN"/>
        </w:rPr>
      </w:pPr>
      <w:r>
        <w:rPr>
          <w:rFonts w:hint="eastAsia" w:ascii="微软雅黑" w:hAnsi="微软雅黑" w:eastAsia="微软雅黑" w:cs="微软雅黑"/>
          <w:b/>
          <w:i w:val="0"/>
          <w:caps w:val="0"/>
          <w:color w:val="245798"/>
          <w:spacing w:val="0"/>
          <w:sz w:val="27"/>
          <w:szCs w:val="27"/>
          <w:lang w:val="en-US" w:eastAsia="zh-CN"/>
        </w:rPr>
        <w:t>2022年后勤服务采购项目</w:t>
      </w:r>
      <w:r>
        <w:rPr>
          <w:rFonts w:hint="eastAsia" w:ascii="微软雅黑" w:hAnsi="微软雅黑" w:eastAsia="微软雅黑" w:cs="微软雅黑"/>
          <w:b/>
          <w:i w:val="0"/>
          <w:caps w:val="0"/>
          <w:color w:val="245798"/>
          <w:spacing w:val="0"/>
          <w:sz w:val="27"/>
          <w:szCs w:val="27"/>
        </w:rPr>
        <w:t>邀</w:t>
      </w:r>
      <w:r>
        <w:rPr>
          <w:rFonts w:hint="eastAsia" w:ascii="微软雅黑" w:hAnsi="微软雅黑" w:eastAsia="微软雅黑" w:cs="微软雅黑"/>
          <w:b/>
          <w:i w:val="0"/>
          <w:caps w:val="0"/>
          <w:color w:val="245798"/>
          <w:spacing w:val="0"/>
          <w:sz w:val="27"/>
          <w:szCs w:val="27"/>
          <w:lang w:eastAsia="zh-CN"/>
        </w:rPr>
        <w:t>请公告</w:t>
      </w:r>
      <w:r>
        <w:rPr>
          <w:rFonts w:hint="eastAsia" w:ascii="微软雅黑" w:hAnsi="微软雅黑" w:eastAsia="微软雅黑" w:cs="微软雅黑"/>
          <w:b/>
          <w:i w:val="0"/>
          <w:caps w:val="0"/>
          <w:color w:val="245798"/>
          <w:spacing w:val="0"/>
          <w:sz w:val="27"/>
          <w:szCs w:val="27"/>
          <w:lang w:val="en-US" w:eastAsia="zh-CN"/>
        </w:rPr>
        <w:t>（编号：wh</w:t>
      </w:r>
      <w:r>
        <w:rPr>
          <w:rFonts w:hint="default" w:ascii="微软雅黑" w:hAnsi="微软雅黑" w:eastAsia="微软雅黑" w:cs="微软雅黑"/>
          <w:b/>
          <w:i w:val="0"/>
          <w:caps w:val="0"/>
          <w:color w:val="245798"/>
          <w:spacing w:val="0"/>
          <w:sz w:val="27"/>
          <w:szCs w:val="27"/>
          <w:lang w:eastAsia="zh-CN"/>
        </w:rPr>
        <w:t>cdc</w:t>
      </w:r>
      <w:r>
        <w:rPr>
          <w:rFonts w:hint="eastAsia" w:ascii="微软雅黑" w:hAnsi="微软雅黑" w:eastAsia="微软雅黑" w:cs="微软雅黑"/>
          <w:b/>
          <w:i w:val="0"/>
          <w:caps w:val="0"/>
          <w:color w:val="245798"/>
          <w:spacing w:val="0"/>
          <w:sz w:val="27"/>
          <w:szCs w:val="27"/>
          <w:lang w:val="en-US" w:eastAsia="zh-CN"/>
        </w:rPr>
        <w:t>cg</w:t>
      </w:r>
      <w:r>
        <w:rPr>
          <w:rFonts w:hint="default" w:ascii="微软雅黑" w:hAnsi="微软雅黑" w:eastAsia="微软雅黑" w:cs="微软雅黑"/>
          <w:b/>
          <w:i w:val="0"/>
          <w:caps w:val="0"/>
          <w:color w:val="245798"/>
          <w:spacing w:val="0"/>
          <w:sz w:val="27"/>
          <w:szCs w:val="27"/>
          <w:lang w:eastAsia="zh-CN"/>
        </w:rPr>
        <w:t>-20</w:t>
      </w:r>
      <w:r>
        <w:rPr>
          <w:rFonts w:hint="eastAsia" w:ascii="微软雅黑" w:hAnsi="微软雅黑" w:eastAsia="微软雅黑" w:cs="微软雅黑"/>
          <w:b/>
          <w:i w:val="0"/>
          <w:caps w:val="0"/>
          <w:color w:val="245798"/>
          <w:spacing w:val="0"/>
          <w:sz w:val="27"/>
          <w:szCs w:val="27"/>
          <w:lang w:val="en-US" w:eastAsia="zh-CN"/>
        </w:rPr>
        <w:t>22</w:t>
      </w:r>
      <w:r>
        <w:rPr>
          <w:rFonts w:hint="default" w:ascii="微软雅黑" w:hAnsi="微软雅黑" w:eastAsia="微软雅黑" w:cs="微软雅黑"/>
          <w:b/>
          <w:i w:val="0"/>
          <w:caps w:val="0"/>
          <w:color w:val="245798"/>
          <w:spacing w:val="0"/>
          <w:sz w:val="27"/>
          <w:szCs w:val="27"/>
          <w:lang w:eastAsia="zh-CN"/>
        </w:rPr>
        <w:t>-</w:t>
      </w:r>
      <w:r>
        <w:rPr>
          <w:rFonts w:hint="eastAsia" w:ascii="微软雅黑" w:hAnsi="微软雅黑" w:eastAsia="微软雅黑" w:cs="微软雅黑"/>
          <w:b/>
          <w:i w:val="0"/>
          <w:caps w:val="0"/>
          <w:color w:val="245798"/>
          <w:spacing w:val="0"/>
          <w:sz w:val="27"/>
          <w:szCs w:val="27"/>
          <w:lang w:val="en-US" w:eastAsia="zh-CN"/>
        </w:rPr>
        <w:t>01）</w:t>
      </w:r>
    </w:p>
    <w:p/>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ascii="Times New Roman" w:hAnsi="Times New Roman" w:cs="Times New Roman"/>
          <w:i w:val="0"/>
          <w:caps w:val="0"/>
          <w:color w:val="333333"/>
          <w:spacing w:val="0"/>
          <w:sz w:val="19"/>
          <w:szCs w:val="19"/>
        </w:rPr>
      </w:pPr>
      <w:r>
        <w:rPr>
          <w:rFonts w:hint="default" w:ascii="Times New Roman" w:hAnsi="Times New Roman" w:cs="Times New Roman"/>
          <w:i w:val="0"/>
          <w:caps w:val="0"/>
          <w:color w:val="333333"/>
          <w:spacing w:val="0"/>
          <w:sz w:val="24"/>
          <w:szCs w:val="24"/>
        </w:rPr>
        <w:t>成都市</w:t>
      </w:r>
      <w:r>
        <w:rPr>
          <w:rFonts w:hint="eastAsia" w:ascii="Times New Roman" w:hAnsi="Times New Roman" w:cs="Times New Roman"/>
          <w:i w:val="0"/>
          <w:caps w:val="0"/>
          <w:color w:val="333333"/>
          <w:spacing w:val="0"/>
          <w:sz w:val="24"/>
          <w:szCs w:val="24"/>
          <w:lang w:eastAsia="zh-CN"/>
        </w:rPr>
        <w:t>武侯区</w:t>
      </w:r>
      <w:r>
        <w:rPr>
          <w:rFonts w:hint="default" w:ascii="Times New Roman" w:hAnsi="Times New Roman" w:cs="Times New Roman"/>
          <w:i w:val="0"/>
          <w:caps w:val="0"/>
          <w:color w:val="333333"/>
          <w:spacing w:val="0"/>
          <w:sz w:val="24"/>
          <w:szCs w:val="24"/>
        </w:rPr>
        <w:t>疾病预防控制中心拟</w:t>
      </w:r>
      <w:r>
        <w:rPr>
          <w:rFonts w:hint="eastAsia" w:ascii="Times New Roman" w:hAnsi="Times New Roman" w:cs="Times New Roman"/>
          <w:i w:val="0"/>
          <w:caps w:val="0"/>
          <w:color w:val="333333"/>
          <w:spacing w:val="0"/>
          <w:sz w:val="24"/>
          <w:szCs w:val="24"/>
          <w:lang w:eastAsia="zh-CN"/>
        </w:rPr>
        <w:t>询价</w:t>
      </w:r>
      <w:r>
        <w:rPr>
          <w:rFonts w:hint="default" w:ascii="Times New Roman" w:hAnsi="Times New Roman" w:cs="Times New Roman"/>
          <w:i w:val="0"/>
          <w:caps w:val="0"/>
          <w:color w:val="333333"/>
          <w:spacing w:val="0"/>
          <w:sz w:val="24"/>
          <w:szCs w:val="24"/>
        </w:rPr>
        <w:t>采购2022年后勤服务，兹邀请符合本次采购要求的供应商参加报价。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一、项目简介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eastAsia="宋体" w:cs="Times New Roman"/>
          <w:i w:val="0"/>
          <w:caps w:val="0"/>
          <w:color w:val="333333"/>
          <w:spacing w:val="0"/>
          <w:sz w:val="19"/>
          <w:szCs w:val="19"/>
          <w:lang w:val="en-US" w:eastAsia="zh-CN"/>
        </w:rPr>
      </w:pPr>
      <w:r>
        <w:rPr>
          <w:rFonts w:hint="eastAsia" w:ascii="Times New Roman" w:hAnsi="Times New Roman" w:cs="Times New Roman"/>
          <w:i w:val="0"/>
          <w:caps w:val="0"/>
          <w:color w:val="333333"/>
          <w:spacing w:val="0"/>
          <w:sz w:val="24"/>
          <w:szCs w:val="24"/>
          <w:lang w:eastAsia="zh-CN"/>
        </w:rPr>
        <w:t>（一）项目</w:t>
      </w:r>
      <w:r>
        <w:rPr>
          <w:rFonts w:hint="default" w:ascii="Times New Roman" w:hAnsi="Times New Roman" w:cs="Times New Roman"/>
          <w:i w:val="0"/>
          <w:caps w:val="0"/>
          <w:color w:val="333333"/>
          <w:spacing w:val="0"/>
          <w:sz w:val="24"/>
          <w:szCs w:val="24"/>
        </w:rPr>
        <w:t>编号：</w:t>
      </w:r>
      <w:r>
        <w:rPr>
          <w:rFonts w:hint="eastAsia" w:ascii="Times New Roman" w:hAnsi="Times New Roman" w:eastAsia="宋体" w:cs="Times New Roman"/>
          <w:b w:val="0"/>
          <w:i w:val="0"/>
          <w:caps w:val="0"/>
          <w:color w:val="333333"/>
          <w:spacing w:val="0"/>
          <w:sz w:val="19"/>
          <w:szCs w:val="19"/>
          <w:lang w:val="en-US" w:eastAsia="zh-CN"/>
        </w:rPr>
        <w:t>wh</w:t>
      </w:r>
      <w:r>
        <w:rPr>
          <w:rFonts w:hint="default" w:ascii="Times New Roman" w:hAnsi="Times New Roman" w:eastAsia="宋体" w:cs="Times New Roman"/>
          <w:b w:val="0"/>
          <w:i w:val="0"/>
          <w:caps w:val="0"/>
          <w:color w:val="333333"/>
          <w:spacing w:val="0"/>
          <w:sz w:val="19"/>
          <w:szCs w:val="19"/>
        </w:rPr>
        <w:t>cdc</w:t>
      </w:r>
      <w:r>
        <w:rPr>
          <w:rFonts w:hint="eastAsia" w:ascii="Times New Roman" w:hAnsi="Times New Roman" w:eastAsia="宋体" w:cs="Times New Roman"/>
          <w:b w:val="0"/>
          <w:i w:val="0"/>
          <w:caps w:val="0"/>
          <w:color w:val="333333"/>
          <w:spacing w:val="0"/>
          <w:sz w:val="19"/>
          <w:szCs w:val="19"/>
          <w:lang w:val="en-US" w:eastAsia="zh-CN"/>
        </w:rPr>
        <w:t>cg</w:t>
      </w:r>
      <w:r>
        <w:rPr>
          <w:rFonts w:hint="default" w:ascii="Times New Roman" w:hAnsi="Times New Roman" w:eastAsia="宋体" w:cs="Times New Roman"/>
          <w:b w:val="0"/>
          <w:i w:val="0"/>
          <w:caps w:val="0"/>
          <w:color w:val="333333"/>
          <w:spacing w:val="0"/>
          <w:sz w:val="19"/>
          <w:szCs w:val="19"/>
        </w:rPr>
        <w:t>-20</w:t>
      </w:r>
      <w:r>
        <w:rPr>
          <w:rFonts w:hint="eastAsia" w:ascii="Times New Roman" w:hAnsi="Times New Roman" w:eastAsia="宋体" w:cs="Times New Roman"/>
          <w:b w:val="0"/>
          <w:i w:val="0"/>
          <w:caps w:val="0"/>
          <w:color w:val="333333"/>
          <w:spacing w:val="0"/>
          <w:sz w:val="19"/>
          <w:szCs w:val="19"/>
          <w:lang w:val="en-US" w:eastAsia="zh-CN"/>
        </w:rPr>
        <w:t>22</w:t>
      </w:r>
      <w:r>
        <w:rPr>
          <w:rFonts w:hint="default" w:ascii="Times New Roman" w:hAnsi="Times New Roman" w:eastAsia="宋体" w:cs="Times New Roman"/>
          <w:b w:val="0"/>
          <w:i w:val="0"/>
          <w:caps w:val="0"/>
          <w:color w:val="333333"/>
          <w:spacing w:val="0"/>
          <w:sz w:val="19"/>
          <w:szCs w:val="19"/>
        </w:rPr>
        <w:t>-</w:t>
      </w:r>
      <w:r>
        <w:rPr>
          <w:rFonts w:hint="eastAsia" w:ascii="Times New Roman" w:hAnsi="Times New Roman" w:eastAsia="宋体" w:cs="Times New Roman"/>
          <w:b w:val="0"/>
          <w:i w:val="0"/>
          <w:caps w:val="0"/>
          <w:color w:val="333333"/>
          <w:spacing w:val="0"/>
          <w:sz w:val="19"/>
          <w:szCs w:val="19"/>
          <w:lang w:val="en-US" w:eastAsia="zh-CN"/>
        </w:rPr>
        <w:t>01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ascii="Times New Roman" w:hAnsi="Times New Roman" w:cs="Times New Roman"/>
          <w:i w:val="0"/>
          <w:caps w:val="0"/>
          <w:color w:val="333333"/>
          <w:spacing w:val="0"/>
          <w:sz w:val="19"/>
          <w:szCs w:val="19"/>
        </w:rPr>
      </w:pPr>
      <w:r>
        <w:rPr>
          <w:rFonts w:hint="eastAsia" w:ascii="Times New Roman" w:hAnsi="Times New Roman" w:cs="Times New Roman"/>
          <w:i w:val="0"/>
          <w:caps w:val="0"/>
          <w:color w:val="333333"/>
          <w:spacing w:val="0"/>
          <w:sz w:val="24"/>
          <w:szCs w:val="24"/>
          <w:lang w:eastAsia="zh-CN"/>
        </w:rPr>
        <w:t>（二）项目名称</w:t>
      </w:r>
      <w:r>
        <w:rPr>
          <w:rFonts w:hint="default" w:ascii="Times New Roman" w:hAnsi="Times New Roman" w:cs="Times New Roman"/>
          <w:i w:val="0"/>
          <w:caps w:val="0"/>
          <w:color w:val="333333"/>
          <w:spacing w:val="0"/>
          <w:sz w:val="24"/>
          <w:szCs w:val="24"/>
        </w:rPr>
        <w:t>：成都市</w:t>
      </w:r>
      <w:r>
        <w:rPr>
          <w:rFonts w:hint="eastAsia" w:ascii="Times New Roman" w:hAnsi="Times New Roman" w:cs="Times New Roman"/>
          <w:i w:val="0"/>
          <w:caps w:val="0"/>
          <w:color w:val="333333"/>
          <w:spacing w:val="0"/>
          <w:sz w:val="24"/>
          <w:szCs w:val="24"/>
          <w:lang w:eastAsia="zh-CN"/>
        </w:rPr>
        <w:t>武侯区</w:t>
      </w:r>
      <w:r>
        <w:rPr>
          <w:rFonts w:hint="default" w:ascii="Times New Roman" w:hAnsi="Times New Roman" w:cs="Times New Roman"/>
          <w:i w:val="0"/>
          <w:caps w:val="0"/>
          <w:color w:val="333333"/>
          <w:spacing w:val="0"/>
          <w:sz w:val="24"/>
          <w:szCs w:val="24"/>
        </w:rPr>
        <w:t>疾病预防控制中心2022年后勤服务采购项目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ascii="Times New Roman" w:hAnsi="Times New Roman" w:cs="Times New Roman"/>
          <w:i w:val="0"/>
          <w:caps w:val="0"/>
          <w:color w:val="333333"/>
          <w:spacing w:val="0"/>
          <w:sz w:val="19"/>
          <w:szCs w:val="19"/>
        </w:rPr>
      </w:pPr>
      <w:r>
        <w:rPr>
          <w:rFonts w:hint="eastAsia" w:ascii="Times New Roman" w:hAnsi="Times New Roman" w:cs="Times New Roman"/>
          <w:i w:val="0"/>
          <w:caps w:val="0"/>
          <w:color w:val="333333"/>
          <w:spacing w:val="0"/>
          <w:sz w:val="24"/>
          <w:szCs w:val="24"/>
          <w:lang w:eastAsia="zh-CN"/>
        </w:rPr>
        <w:t>（三）</w:t>
      </w:r>
      <w:r>
        <w:rPr>
          <w:rFonts w:hint="default" w:ascii="Times New Roman" w:hAnsi="Times New Roman" w:cs="Times New Roman"/>
          <w:i w:val="0"/>
          <w:caps w:val="0"/>
          <w:color w:val="333333"/>
          <w:spacing w:val="0"/>
          <w:sz w:val="24"/>
          <w:szCs w:val="24"/>
        </w:rPr>
        <w:t>资金来源：财政性资金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（四）采购方式：询价采购(一次性报价)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仿宋" w:hAnsi="仿宋" w:eastAsia="仿宋"/>
          <w:color w:val="000000" w:themeColor="text1"/>
          <w:sz w:val="24"/>
          <w14:textFill>
            <w14:solidFill>
              <w14:schemeClr w14:val="tx1"/>
            </w14:solidFill>
          </w14:textFill>
        </w:rPr>
      </w:pPr>
      <w:r>
        <w:rPr>
          <w:rFonts w:hint="eastAsia" w:ascii="Times New Roman" w:hAnsi="Times New Roman" w:cs="Times New Roman"/>
          <w:i w:val="0"/>
          <w:caps w:val="0"/>
          <w:color w:val="333333"/>
          <w:spacing w:val="0"/>
          <w:sz w:val="24"/>
          <w:szCs w:val="24"/>
          <w:lang w:eastAsia="zh-CN"/>
        </w:rPr>
        <w:t>（五）项目内容：</w:t>
      </w:r>
      <w:r>
        <w:rPr>
          <w:rFonts w:hint="eastAsia" w:ascii="仿宋" w:hAnsi="仿宋" w:eastAsia="仿宋"/>
          <w:color w:val="000000" w:themeColor="text1"/>
          <w:sz w:val="24"/>
          <w:u w:val="single"/>
          <w14:textFill>
            <w14:solidFill>
              <w14:schemeClr w14:val="tx1"/>
            </w14:solidFill>
          </w14:textFill>
        </w:rPr>
        <w:t>成都市武侯区疾病预防控制中心</w:t>
      </w:r>
      <w:r>
        <w:rPr>
          <w:rFonts w:hint="eastAsia" w:ascii="仿宋" w:hAnsi="仿宋" w:eastAsia="仿宋"/>
          <w:color w:val="000000" w:themeColor="text1"/>
          <w:sz w:val="24"/>
          <w14:textFill>
            <w14:solidFill>
              <w14:schemeClr w14:val="tx1"/>
            </w14:solidFill>
          </w14:textFill>
        </w:rPr>
        <w:t>拟对2022年</w:t>
      </w:r>
      <w:r>
        <w:rPr>
          <w:rFonts w:hint="eastAsia" w:ascii="仿宋" w:hAnsi="仿宋" w:eastAsia="仿宋"/>
          <w:color w:val="000000" w:themeColor="text1"/>
          <w:sz w:val="24"/>
          <w:u w:val="single"/>
          <w14:textFill>
            <w14:solidFill>
              <w14:schemeClr w14:val="tx1"/>
            </w14:solidFill>
          </w14:textFill>
        </w:rPr>
        <w:t>后勤服务采购项目</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进行采购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eastAsiaTheme="minorEastAsia"/>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二、技术参数和服务要求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前提：本章采购需求中标注“*”号的条款为本次磋商采购项目的实质性要求，供应商应全部满足。</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1. 项目概述</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本项目一个包，采购后勤保卫保洁服务和后勤管理服务商一名。</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*本项目采购预算：26万元/年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超过采购预算的报价,其响应文件按无效处理。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*2.商务要求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2.1 服务地点：成都市武侯区疾病预防控制中心内</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2.2 服务年限：结果有效期为</w:t>
      </w:r>
      <w:r>
        <w:rPr>
          <w:rFonts w:hint="eastAsia" w:ascii="Times New Roman" w:hAnsi="Times New Roman" w:cs="Times New Roman"/>
          <w:i w:val="0"/>
          <w:caps w:val="0"/>
          <w:color w:val="333333"/>
          <w:spacing w:val="0"/>
          <w:sz w:val="24"/>
          <w:szCs w:val="24"/>
          <w:lang w:val="en-US" w:eastAsia="zh-CN"/>
        </w:rPr>
        <w:t>1</w:t>
      </w:r>
      <w:r>
        <w:rPr>
          <w:rFonts w:hint="eastAsia" w:ascii="Times New Roman" w:hAnsi="Times New Roman" w:cs="Times New Roman"/>
          <w:i w:val="0"/>
          <w:caps w:val="0"/>
          <w:color w:val="333333"/>
          <w:spacing w:val="0"/>
          <w:sz w:val="24"/>
          <w:szCs w:val="24"/>
          <w:lang w:eastAsia="zh-CN"/>
        </w:rPr>
        <w:t>年，如搬迁至大合仓，合同自动终止</w:t>
      </w:r>
      <w:bookmarkStart w:id="0" w:name="_GoBack"/>
      <w:bookmarkEnd w:id="0"/>
      <w:r>
        <w:rPr>
          <w:rFonts w:hint="eastAsia" w:ascii="Times New Roman" w:hAnsi="Times New Roman" w:cs="Times New Roman"/>
          <w:i w:val="0"/>
          <w:caps w:val="0"/>
          <w:color w:val="333333"/>
          <w:spacing w:val="0"/>
          <w:sz w:val="24"/>
          <w:szCs w:val="24"/>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2.3 付款方式：在每月三十日前一次性向成交供应商支付当月的服务费。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2.4 违约责任</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2.4.1 如成交人不能按约定标准完成服务内容，采购人有权追究成交人的违约责任；第一次可通过书面要求成交人返工，无效后则可要求成交人支付违约金，违约金金额为500元/次，可在合同金额中予以抵扣。</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2.4.2成交人在服务期内，因自身原因造成采购合同终止或考核没有通过无法签订下一年度的服务合同的，因此产生的所有经济损失由成交人自行承担，如给采购人造成的经济损失的，采购人将依法追究其法律责任。</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2.5协议终止</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2.5.1、双方应严格遵守采购文件及响应文件约定事宜，若因政策原因、不可抗力或其他不能协调解决的原因需变更或提前终止合同的，应提前半月以上通知对方，双方友好协商解决，互不追究违约责任。</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2.5.2、如成交人严重违约导致本项目无法继续履行的，守约方可以要求提前终止合同，并要求对方支付违约金，违约金为5000元（伍仟元整）。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3.项目服务要求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3.1保卫保洁服务要求：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【一】 人员要求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a.门卫2名</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要求：坚守工作岗位，着装整洁，工作认真负责，服务热情周到，语言文明礼貌，工作时间按岗位要求执行。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b.保洁工3名</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要求：该人员有良好的职业道德和敬业精神；工作积极主动，服务热情周到，语言文明礼貌；工作质量达到岗位要求，工作时间按岗位要求执行。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如成交人提供以上人员不达到要求，采购人可提出更换。</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【二】 主要服务要求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（一） 门卫保安</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1  门卫保安管辖范围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成都市武侯区疾病预防控制中心办公区范围。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  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（1）  文明服务，礼貌待人。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 外来人员来访，门卫处认真确认、登记后，方可放行，禁止闲杂人员或非本单位车辆进入.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（3）负责车棚、大门口内外的地面卫生以及门卫室内卫生，确保卫生区域及周围环境卫生的干净整洁。</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（4）负责报纸、信件、快递及包裹的接收和登记工作，对快递、急件、汇款单要妥善保管，及时转送，做好登记签字。</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（5） 每天对办公楼的水电、门窗等设施进行一次巡察，观察是否有漏电、漏水等现象，是否存在安全隐患，发现问题要及时汇报、处理、并做好相关的记录工作。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（二）后勤保洁</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1  保洁范围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办公楼的过道、楼梯、大厅、公共场所、卫生间等保洁。会议室、屋顶、培训室、体检室、采血室、注射室、窗户每月擦一次。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  保洁质量标准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（1）保洁标准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室内卫生</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①  天花板、四壁无积尘、蛛网。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②  天窗、玻璃擦拭干净、无积尘、无污迹。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③  灯管、灯罩、电器开关及各种管道、干净无积尘。</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④  洗手池、痰盂、污物桶、盆等卫生设施清洁、无污垢。</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⑤  地面干净，无污迹、烟头、无痰迹、无纸屑、无积水。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960" w:firstLineChars="4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⑥  公共场所的公共设施，楼层的固定椅及消防器材等设施保持洁净，无尘无垢。</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环境卫生</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路面清洁卫生、无卫生死角。</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无烟头、纸屑等；卫生设施外观保持整洁；果屑箱内无隔夜垃圾。</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绿化区无垃圾、积水污水。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承包范围内露天平台上清洁干净、无烟头、污物。</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⑤  定期对全院室内、外环境进行消毒、灭四害，“四害”密度控制在国家卫生标准之内。</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   卫生间卫生</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①  地面蹲位、门窗、玻璃清洁、无污迹；天花板无蛛网；电器清洁无尘。</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②  地面无烟头、污物、污水、纸屑。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③  便池无垢、无蝇蛆、无臭味。</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④  物品按规定摆放有序。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（2）保洁工作质量达到疾控中心、街道办事处和主管部门的卫生检查要求。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（3）保洁范围标准符合市卫生系统和疾控中心主管部门的卫生检查有关标准。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（三）植物租摆、绿化养护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1.植物租摆大盆植物58盆，小盆植物72盆；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2.院内及屋顶公共绿化区域的日常养护；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3.要求：植物租赁与摆放、维护由供应商提供，植物品种随季节改变更换，并定期对所摆放的植物进行养护，发现有不能新鲜的植物及时更换。绿化养护根据相关标准进行日常养护管理，并根据公共绿化区域各类植物生长情况进行浇水、追肥、喷药杀虫杀菌、清除杂草、松土、整形等。</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（四）后勤管理服务及临时驾驶服务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 xml:space="preserve">1.人员：后勤管理服务1名，不固定驾驶员1名，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 后勤管理服务内容：对疫苗冷库非工时间的温度监测、下雨天屋顶排水情况管理。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3. 后勤管理服务要求：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二、疫苗库房管理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责任心强的工作人员负责非工作时间的疫苗冷库管理，每天检查冷库的温度情况，并把检查的情况如实登记在记录表上。具体要求如下：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（一）冷库正常运转温度要求2-8℃。</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（二）非工作时间温度检查记录要求：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1．周一至周五晚间：每晚休息前巡视一次冷库门锁安全，并记录温度。</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2．周末或节假日期间：早、中、晚各巡视一次（共三次）冷库门锁安全，并记录温度。</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3．如遇停电、雷雨等异常天气，立即巡视冷库是否断电，并记录温度。</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（三）一旦发现冷库温度异常（不在要求温度之内），立即通知采购人并协助做好搬苗、移库等应急处置工作；如遇停电，立即通知采购人并协助及时采取应急措施。</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（四）如遇冷库维修，将视实际情况另行安排观察记录次数。</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（五）如遇事假等特殊情况需换班时，必须做好交接班及记录工作，确保冷库安全工作。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二、房顶楼面管理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如遇下雨天，供应商应主动到楼面检查排水是否流畅，如有问题应立即排除。如不能解决的问题，应立即通知采购人，并做好情况记录。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4.不固定驾驶员相关工作要求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（一）驾驶员身体健康，能胜任司机一职。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（二）驾驶员必须严格遵守采购人依法制定的各项内部规章制度，正常工作日内按时上下班，否则，采购人可以依照内部规定进行处罚或与成交人解除聘用驾驶员合同。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（三）驾驶员在工作期间内每天对车辆进行保养、擦洗；每天对车辆进行检查，保持车辆状况良好再行驶。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（四）驾驶员不得私自出车或私自将车转交他人驾驶，违者视情节予以批评教育和处罚。若发生事故，一切责任（包括个人安全、经济损失、违章罚款）由成交人承担。</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（五）车辆晚上应停放在指定车库内，车钥匙放在指定地点，特殊情况停不到车库时，也应停放在有人看管的停车场内，否则一切责任由成交人承担。</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三、项目的评审方法：综合评分法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ascii="Times New Roman" w:hAnsi="Times New Roman" w:cs="Times New Roman"/>
          <w:i w:val="0"/>
          <w:caps w:val="0"/>
          <w:color w:val="333333"/>
          <w:spacing w:val="0"/>
          <w:sz w:val="24"/>
          <w:szCs w:val="24"/>
        </w:rPr>
      </w:pPr>
      <w:r>
        <w:rPr>
          <w:rFonts w:hint="eastAsia" w:ascii="Times New Roman" w:hAnsi="Times New Roman" w:cs="Times New Roman"/>
          <w:i w:val="0"/>
          <w:caps w:val="0"/>
          <w:color w:val="333333"/>
          <w:spacing w:val="0"/>
          <w:sz w:val="24"/>
          <w:szCs w:val="24"/>
          <w:lang w:eastAsia="zh-CN"/>
        </w:rPr>
        <w:t>四、供应商参加本次采购活动应具备下列资格条件</w:t>
      </w:r>
      <w:r>
        <w:rPr>
          <w:rFonts w:hint="default" w:ascii="Times New Roman" w:hAnsi="Times New Roman" w:cs="Times New Roman"/>
          <w:i w:val="0"/>
          <w:caps w:val="0"/>
          <w:color w:val="333333"/>
          <w:spacing w:val="0"/>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ascii="Times New Roman" w:hAnsi="Times New Roman" w:cs="Times New Roman"/>
          <w:i w:val="0"/>
          <w:caps w:val="0"/>
          <w:color w:val="333333"/>
          <w:spacing w:val="0"/>
          <w:sz w:val="24"/>
          <w:szCs w:val="24"/>
        </w:rPr>
      </w:pPr>
      <w:r>
        <w:rPr>
          <w:rFonts w:hint="default" w:ascii="Times New Roman" w:hAnsi="Times New Roman" w:cs="Times New Roman"/>
          <w:i w:val="0"/>
          <w:caps w:val="0"/>
          <w:color w:val="333333"/>
          <w:spacing w:val="0"/>
          <w:sz w:val="24"/>
          <w:szCs w:val="24"/>
        </w:rPr>
        <w:t>1、</w:t>
      </w:r>
      <w:r>
        <w:rPr>
          <w:rFonts w:hint="eastAsia" w:ascii="Times New Roman" w:hAnsi="Times New Roman" w:cs="Times New Roman"/>
          <w:i w:val="0"/>
          <w:caps w:val="0"/>
          <w:color w:val="333333"/>
          <w:spacing w:val="0"/>
          <w:sz w:val="24"/>
          <w:szCs w:val="24"/>
        </w:rPr>
        <w:t>具有独立承担民事责任能力的企业法人</w:t>
      </w:r>
      <w:r>
        <w:rPr>
          <w:rFonts w:hint="default" w:ascii="Times New Roman" w:hAnsi="Times New Roman" w:cs="Times New Roman"/>
          <w:i w:val="0"/>
          <w:caps w:val="0"/>
          <w:color w:val="333333"/>
          <w:spacing w:val="0"/>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ascii="Times New Roman" w:hAnsi="Times New Roman" w:cs="Times New Roman"/>
          <w:i w:val="0"/>
          <w:caps w:val="0"/>
          <w:color w:val="333333"/>
          <w:spacing w:val="0"/>
          <w:sz w:val="24"/>
          <w:szCs w:val="24"/>
        </w:rPr>
      </w:pPr>
      <w:r>
        <w:rPr>
          <w:rFonts w:hint="default" w:ascii="Times New Roman" w:hAnsi="Times New Roman" w:cs="Times New Roman"/>
          <w:i w:val="0"/>
          <w:caps w:val="0"/>
          <w:color w:val="333333"/>
          <w:spacing w:val="0"/>
          <w:sz w:val="24"/>
          <w:szCs w:val="24"/>
        </w:rPr>
        <w:t>2、具有良好的商业信誉和健全的财务会计制度；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ascii="Times New Roman" w:hAnsi="Times New Roman" w:cs="Times New Roman"/>
          <w:i w:val="0"/>
          <w:caps w:val="0"/>
          <w:color w:val="333333"/>
          <w:spacing w:val="0"/>
          <w:sz w:val="24"/>
          <w:szCs w:val="24"/>
        </w:rPr>
      </w:pPr>
      <w:r>
        <w:rPr>
          <w:rFonts w:hint="default" w:ascii="Times New Roman" w:hAnsi="Times New Roman" w:cs="Times New Roman"/>
          <w:i w:val="0"/>
          <w:caps w:val="0"/>
          <w:color w:val="333333"/>
          <w:spacing w:val="0"/>
          <w:sz w:val="24"/>
          <w:szCs w:val="24"/>
        </w:rPr>
        <w:t>3、具有履行合同所必须的设备</w:t>
      </w:r>
      <w:r>
        <w:rPr>
          <w:rFonts w:hint="eastAsia" w:ascii="Times New Roman" w:hAnsi="Times New Roman" w:cs="Times New Roman"/>
          <w:i w:val="0"/>
          <w:caps w:val="0"/>
          <w:color w:val="333333"/>
          <w:spacing w:val="0"/>
          <w:sz w:val="24"/>
          <w:szCs w:val="24"/>
          <w:lang w:eastAsia="zh-CN"/>
        </w:rPr>
        <w:t>、</w:t>
      </w:r>
      <w:r>
        <w:rPr>
          <w:rFonts w:hint="default" w:ascii="Times New Roman" w:hAnsi="Times New Roman" w:cs="Times New Roman"/>
          <w:i w:val="0"/>
          <w:caps w:val="0"/>
          <w:color w:val="333333"/>
          <w:spacing w:val="0"/>
          <w:sz w:val="24"/>
          <w:szCs w:val="24"/>
        </w:rPr>
        <w:t>专业技术能力</w:t>
      </w:r>
      <w:r>
        <w:rPr>
          <w:rFonts w:hint="eastAsia" w:ascii="Times New Roman" w:hAnsi="Times New Roman" w:cs="Times New Roman"/>
          <w:i w:val="0"/>
          <w:caps w:val="0"/>
          <w:color w:val="333333"/>
          <w:spacing w:val="0"/>
          <w:sz w:val="24"/>
          <w:szCs w:val="24"/>
        </w:rPr>
        <w:t>及</w:t>
      </w:r>
      <w:r>
        <w:rPr>
          <w:rFonts w:hint="eastAsia" w:ascii="Times New Roman" w:hAnsi="Times New Roman" w:cs="Times New Roman"/>
          <w:i w:val="0"/>
          <w:caps w:val="0"/>
          <w:color w:val="333333"/>
          <w:spacing w:val="0"/>
          <w:sz w:val="24"/>
          <w:szCs w:val="24"/>
          <w:lang w:eastAsia="zh-CN"/>
        </w:rPr>
        <w:t>相关</w:t>
      </w:r>
      <w:r>
        <w:rPr>
          <w:rFonts w:hint="eastAsia" w:ascii="Times New Roman" w:hAnsi="Times New Roman" w:cs="Times New Roman"/>
          <w:i w:val="0"/>
          <w:caps w:val="0"/>
          <w:color w:val="333333"/>
          <w:spacing w:val="0"/>
          <w:sz w:val="24"/>
          <w:szCs w:val="24"/>
        </w:rPr>
        <w:t>制作经历</w:t>
      </w:r>
      <w:r>
        <w:rPr>
          <w:rFonts w:hint="default" w:ascii="Times New Roman" w:hAnsi="Times New Roman" w:cs="Times New Roman"/>
          <w:i w:val="0"/>
          <w:caps w:val="0"/>
          <w:color w:val="333333"/>
          <w:spacing w:val="0"/>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ascii="Times New Roman" w:hAnsi="Times New Roman" w:cs="Times New Roman"/>
          <w:i w:val="0"/>
          <w:caps w:val="0"/>
          <w:color w:val="333333"/>
          <w:spacing w:val="0"/>
          <w:sz w:val="24"/>
          <w:szCs w:val="24"/>
        </w:rPr>
      </w:pPr>
      <w:r>
        <w:rPr>
          <w:rFonts w:hint="default" w:ascii="Times New Roman" w:hAnsi="Times New Roman" w:cs="Times New Roman"/>
          <w:i w:val="0"/>
          <w:caps w:val="0"/>
          <w:color w:val="333333"/>
          <w:spacing w:val="0"/>
          <w:sz w:val="24"/>
          <w:szCs w:val="24"/>
        </w:rPr>
        <w:t>4、具有依法缴纳税收和社会保障资金的良好记录；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ascii="Times New Roman" w:hAnsi="Times New Roman" w:cs="Times New Roman"/>
          <w:i w:val="0"/>
          <w:caps w:val="0"/>
          <w:color w:val="333333"/>
          <w:spacing w:val="0"/>
          <w:sz w:val="24"/>
          <w:szCs w:val="24"/>
        </w:rPr>
      </w:pPr>
      <w:r>
        <w:rPr>
          <w:rFonts w:hint="default" w:ascii="Times New Roman" w:hAnsi="Times New Roman" w:cs="Times New Roman"/>
          <w:i w:val="0"/>
          <w:caps w:val="0"/>
          <w:color w:val="333333"/>
          <w:spacing w:val="0"/>
          <w:sz w:val="24"/>
          <w:szCs w:val="24"/>
        </w:rPr>
        <w:t>5、</w:t>
      </w:r>
      <w:r>
        <w:rPr>
          <w:rFonts w:hint="eastAsia" w:ascii="Times New Roman" w:hAnsi="Times New Roman" w:cs="Times New Roman"/>
          <w:i w:val="0"/>
          <w:caps w:val="0"/>
          <w:color w:val="333333"/>
          <w:spacing w:val="0"/>
          <w:sz w:val="24"/>
          <w:szCs w:val="24"/>
        </w:rPr>
        <w:t>具备相应的经营资格</w:t>
      </w:r>
      <w:r>
        <w:rPr>
          <w:rFonts w:hint="eastAsia" w:ascii="Times New Roman" w:hAnsi="Times New Roman" w:cs="Times New Roman"/>
          <w:i w:val="0"/>
          <w:caps w:val="0"/>
          <w:color w:val="333333"/>
          <w:spacing w:val="0"/>
          <w:sz w:val="24"/>
          <w:szCs w:val="24"/>
          <w:lang w:eastAsia="zh-CN"/>
        </w:rPr>
        <w:t>，</w:t>
      </w:r>
      <w:r>
        <w:rPr>
          <w:rFonts w:hint="default" w:ascii="Times New Roman" w:hAnsi="Times New Roman" w:cs="Times New Roman"/>
          <w:i w:val="0"/>
          <w:caps w:val="0"/>
          <w:color w:val="333333"/>
          <w:spacing w:val="0"/>
          <w:sz w:val="24"/>
          <w:szCs w:val="24"/>
        </w:rPr>
        <w:t>参加本次政府采购活动前三年内，在经营活动中没有重大违法记录；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eastAsiaTheme="minorEastAsia"/>
          <w:i w:val="0"/>
          <w:caps w:val="0"/>
          <w:color w:val="333333"/>
          <w:spacing w:val="0"/>
          <w:sz w:val="24"/>
          <w:szCs w:val="24"/>
          <w:lang w:eastAsia="zh-CN"/>
        </w:rPr>
      </w:pPr>
      <w:r>
        <w:rPr>
          <w:rFonts w:hint="default" w:ascii="Times New Roman" w:hAnsi="Times New Roman" w:cs="Times New Roman"/>
          <w:i w:val="0"/>
          <w:caps w:val="0"/>
          <w:color w:val="333333"/>
          <w:spacing w:val="0"/>
          <w:sz w:val="24"/>
          <w:szCs w:val="24"/>
        </w:rPr>
        <w:t>6、符合法律、行政法规规定的其他条件</w:t>
      </w:r>
      <w:r>
        <w:rPr>
          <w:rFonts w:hint="eastAsia" w:ascii="Times New Roman" w:hAnsi="Times New Roman" w:cs="Times New Roman"/>
          <w:i w:val="0"/>
          <w:caps w:val="0"/>
          <w:color w:val="333333"/>
          <w:spacing w:val="0"/>
          <w:sz w:val="24"/>
          <w:szCs w:val="24"/>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eastAsia="zh-CN"/>
        </w:rPr>
        <w:t>五、供应商资质文件及报价文件材料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（一）供应商资质文件需提供下述材料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 1、供应商经年检的企业营业执照副本（复印件）三证合一的单位提供具有统一社会信用代码的营业执照副本(复印件)；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2、供应商税务登记证副本（复印件）三证合一的单位提供具有统一社会信用代码的营业执照副本(复印件)；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 3、供应商组织机构代码证副本（复印件）三证合一的单位提供具有统一社会信用代码的营业执照副本(复印件)；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 4、法人代表身份证或法人代表委托书；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val="en-US" w:eastAsia="zh-CN"/>
        </w:rPr>
        <w:t> 5、相关资质证书（复印件）。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eastAsia="zh-CN"/>
        </w:rPr>
      </w:pPr>
      <w:r>
        <w:rPr>
          <w:rFonts w:hint="eastAsia" w:ascii="Times New Roman" w:hAnsi="Times New Roman" w:cs="Times New Roman"/>
          <w:i w:val="0"/>
          <w:caps w:val="0"/>
          <w:color w:val="333333"/>
          <w:spacing w:val="0"/>
          <w:sz w:val="24"/>
          <w:szCs w:val="24"/>
          <w:lang w:val="en-US" w:eastAsia="zh-CN"/>
        </w:rPr>
        <w:t>    （二）供应商报价文件需提供下述材料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    1、报价表（格式如下）：</w:t>
      </w:r>
    </w:p>
    <w:tbl>
      <w:tblPr>
        <w:tblStyle w:val="6"/>
        <w:tblW w:w="10540" w:type="dxa"/>
        <w:tblInd w:w="0" w:type="dxa"/>
        <w:tblLayout w:type="fixed"/>
        <w:tblCellMar>
          <w:top w:w="0" w:type="dxa"/>
          <w:left w:w="108" w:type="dxa"/>
          <w:bottom w:w="0" w:type="dxa"/>
          <w:right w:w="108" w:type="dxa"/>
        </w:tblCellMar>
      </w:tblPr>
      <w:tblGrid>
        <w:gridCol w:w="1366"/>
        <w:gridCol w:w="900"/>
        <w:gridCol w:w="1125"/>
        <w:gridCol w:w="1065"/>
        <w:gridCol w:w="6084"/>
      </w:tblGrid>
      <w:tr>
        <w:trPr>
          <w:trHeight w:val="821" w:hRule="atLeast"/>
        </w:trPr>
        <w:tc>
          <w:tcPr>
            <w:tcW w:w="10540" w:type="dxa"/>
            <w:gridSpan w:val="5"/>
            <w:tcBorders>
              <w:top w:val="nil"/>
              <w:left w:val="nil"/>
              <w:bottom w:val="single" w:color="auto" w:sz="4" w:space="0"/>
              <w:right w:val="nil"/>
            </w:tcBorders>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报价单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 xml:space="preserve">报价单位（盖章）：                                  报价时间：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联系人：                                            联系电话：</w:t>
            </w:r>
          </w:p>
        </w:tc>
      </w:tr>
      <w:tr>
        <w:tblPrEx>
          <w:tblCellMar>
            <w:top w:w="0" w:type="dxa"/>
            <w:left w:w="108" w:type="dxa"/>
            <w:bottom w:w="0" w:type="dxa"/>
            <w:right w:w="108" w:type="dxa"/>
          </w:tblCellMar>
        </w:tblPrEx>
        <w:trPr>
          <w:trHeight w:val="556" w:hRule="atLeast"/>
        </w:trPr>
        <w:tc>
          <w:tcPr>
            <w:tcW w:w="1366" w:type="dxa"/>
            <w:tcBorders>
              <w:top w:val="single" w:color="auto" w:sz="4" w:space="0"/>
              <w:left w:val="single" w:color="auto" w:sz="4" w:space="0"/>
              <w:bottom w:val="single" w:color="auto" w:sz="4" w:space="0"/>
              <w:right w:val="single" w:color="auto" w:sz="4" w:space="0"/>
            </w:tcBorders>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采购项目</w:t>
            </w:r>
          </w:p>
        </w:tc>
        <w:tc>
          <w:tcPr>
            <w:tcW w:w="900" w:type="dxa"/>
            <w:tcBorders>
              <w:top w:val="single" w:color="auto" w:sz="4" w:space="0"/>
              <w:left w:val="nil"/>
              <w:bottom w:val="single" w:color="auto" w:sz="4" w:space="0"/>
              <w:right w:val="single" w:color="auto" w:sz="4" w:space="0"/>
            </w:tcBorders>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数量</w:t>
            </w:r>
          </w:p>
        </w:tc>
        <w:tc>
          <w:tcPr>
            <w:tcW w:w="1125" w:type="dxa"/>
            <w:tcBorders>
              <w:top w:val="single" w:color="auto" w:sz="4" w:space="0"/>
              <w:left w:val="nil"/>
              <w:bottom w:val="single" w:color="auto" w:sz="4" w:space="0"/>
              <w:right w:val="single" w:color="auto" w:sz="4" w:space="0"/>
            </w:tcBorders>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单价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（万元）</w:t>
            </w:r>
          </w:p>
        </w:tc>
        <w:tc>
          <w:tcPr>
            <w:tcW w:w="1065" w:type="dxa"/>
            <w:tcBorders>
              <w:top w:val="single" w:color="auto" w:sz="4" w:space="0"/>
              <w:left w:val="nil"/>
              <w:bottom w:val="single" w:color="auto" w:sz="4" w:space="0"/>
              <w:right w:val="single" w:color="auto" w:sz="4" w:space="0"/>
            </w:tcBorders>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合计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（万元）</w:t>
            </w:r>
          </w:p>
        </w:tc>
        <w:tc>
          <w:tcPr>
            <w:tcW w:w="6084" w:type="dxa"/>
            <w:tcBorders>
              <w:top w:val="single" w:color="auto" w:sz="4" w:space="0"/>
              <w:left w:val="nil"/>
              <w:bottom w:val="single" w:color="auto" w:sz="4" w:space="0"/>
              <w:right w:val="single" w:color="auto" w:sz="4" w:space="0"/>
            </w:tcBorders>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vertAlign w:val="baseline"/>
                <w:lang w:eastAsia="zh-CN"/>
              </w:rPr>
              <w:t>技术参数</w:t>
            </w:r>
          </w:p>
        </w:tc>
      </w:tr>
      <w:tr>
        <w:tblPrEx>
          <w:tblCellMar>
            <w:top w:w="0" w:type="dxa"/>
            <w:left w:w="108" w:type="dxa"/>
            <w:bottom w:w="0" w:type="dxa"/>
            <w:right w:w="108" w:type="dxa"/>
          </w:tblCellMar>
        </w:tblPrEx>
        <w:trPr>
          <w:trHeight w:val="609" w:hRule="atLeast"/>
        </w:trPr>
        <w:tc>
          <w:tcPr>
            <w:tcW w:w="1366" w:type="dxa"/>
            <w:tcBorders>
              <w:top w:val="nil"/>
              <w:left w:val="single" w:color="auto" w:sz="4" w:space="0"/>
              <w:bottom w:val="single" w:color="auto" w:sz="4" w:space="0"/>
              <w:right w:val="single" w:color="auto" w:sz="4" w:space="0"/>
            </w:tcBorders>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Times New Roman" w:hAnsi="Times New Roman" w:cs="Times New Roman"/>
                <w:i w:val="0"/>
                <w:caps w:val="0"/>
                <w:color w:val="333333"/>
                <w:spacing w:val="0"/>
                <w:sz w:val="24"/>
                <w:szCs w:val="24"/>
                <w:lang w:val="en-US" w:eastAsia="zh-CN"/>
              </w:rPr>
            </w:pPr>
            <w:r>
              <w:rPr>
                <w:rFonts w:hint="default" w:ascii="Times New Roman" w:hAnsi="Times New Roman" w:cs="Times New Roman"/>
                <w:i w:val="0"/>
                <w:caps w:val="0"/>
                <w:color w:val="333333"/>
                <w:spacing w:val="0"/>
                <w:sz w:val="24"/>
                <w:szCs w:val="24"/>
                <w:lang w:val="en-US" w:eastAsia="zh-CN"/>
              </w:rPr>
              <w:t>成都市武侯区疾病预防控制中心拟对2022年后勤服务采购项目</w:t>
            </w:r>
          </w:p>
        </w:tc>
        <w:tc>
          <w:tcPr>
            <w:tcW w:w="900" w:type="dxa"/>
            <w:tcBorders>
              <w:top w:val="nil"/>
              <w:left w:val="nil"/>
              <w:bottom w:val="single" w:color="auto" w:sz="4" w:space="0"/>
              <w:right w:val="single" w:color="auto" w:sz="4" w:space="0"/>
            </w:tcBorders>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1</w:t>
            </w:r>
          </w:p>
        </w:tc>
        <w:tc>
          <w:tcPr>
            <w:tcW w:w="1125" w:type="dxa"/>
            <w:tcBorders>
              <w:top w:val="nil"/>
              <w:left w:val="nil"/>
              <w:bottom w:val="single" w:color="auto" w:sz="4" w:space="0"/>
              <w:right w:val="single" w:color="auto" w:sz="4" w:space="0"/>
            </w:tcBorders>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ascii="Times New Roman" w:hAnsi="Times New Roman" w:cs="Times New Roman"/>
                <w:i w:val="0"/>
                <w:caps w:val="0"/>
                <w:color w:val="333333"/>
                <w:spacing w:val="0"/>
                <w:sz w:val="24"/>
                <w:szCs w:val="24"/>
                <w:lang w:val="en-US" w:eastAsia="zh-CN"/>
              </w:rPr>
            </w:pPr>
          </w:p>
        </w:tc>
        <w:tc>
          <w:tcPr>
            <w:tcW w:w="1065" w:type="dxa"/>
            <w:tcBorders>
              <w:top w:val="nil"/>
              <w:left w:val="nil"/>
              <w:bottom w:val="single" w:color="auto" w:sz="4" w:space="0"/>
              <w:right w:val="single" w:color="auto" w:sz="4" w:space="0"/>
            </w:tcBorders>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ascii="Times New Roman" w:hAnsi="Times New Roman" w:cs="Times New Roman"/>
                <w:i w:val="0"/>
                <w:caps w:val="0"/>
                <w:color w:val="333333"/>
                <w:spacing w:val="0"/>
                <w:sz w:val="24"/>
                <w:szCs w:val="24"/>
                <w:lang w:val="en-US" w:eastAsia="zh-CN"/>
              </w:rPr>
            </w:pPr>
          </w:p>
        </w:tc>
        <w:tc>
          <w:tcPr>
            <w:tcW w:w="6084" w:type="dxa"/>
            <w:tcBorders>
              <w:top w:val="nil"/>
              <w:left w:val="nil"/>
              <w:bottom w:val="single" w:color="auto" w:sz="4" w:space="0"/>
              <w:right w:val="single" w:color="auto" w:sz="4" w:space="0"/>
            </w:tcBorders>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前提：本章采购需求中标注“*”号的条款为本次磋商采购项目的实质性要求，供应商应全部满足。</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1. 项目概述</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本项目一个包，采购后勤保卫保洁服务和后勤管理服务商一名。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*本项目采购预算：26万元/年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超过采购预算的报价,其响应文件按无效处理。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*2.商务要求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2.1 服务地点：成都市武侯区疾病预防控制中心内</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2.2 服务年限：结果有效期为</w:t>
            </w:r>
            <w:r>
              <w:rPr>
                <w:rFonts w:hint="eastAsia" w:ascii="Times New Roman" w:hAnsi="Times New Roman" w:cs="Times New Roman"/>
                <w:i w:val="0"/>
                <w:caps w:val="0"/>
                <w:color w:val="333333"/>
                <w:spacing w:val="0"/>
                <w:sz w:val="16"/>
                <w:szCs w:val="16"/>
                <w:lang w:val="en-US" w:eastAsia="zh-CN"/>
              </w:rPr>
              <w:t>1</w:t>
            </w:r>
            <w:r>
              <w:rPr>
                <w:rFonts w:hint="eastAsia" w:ascii="Times New Roman" w:hAnsi="Times New Roman" w:cs="Times New Roman"/>
                <w:i w:val="0"/>
                <w:caps w:val="0"/>
                <w:color w:val="333333"/>
                <w:spacing w:val="0"/>
                <w:sz w:val="16"/>
                <w:szCs w:val="16"/>
                <w:lang w:eastAsia="zh-CN"/>
              </w:rPr>
              <w:t>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2.3 付款方式：在每月三十日前一次性向成交供应商支付当月的服务费。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2.4 违约责任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2.4.1 如成交人不能按约定标准完成服务内容，采购人有权追究成交人的违约责任；第一次可通过书面要求成交人返工，无效后则可要求成交人支付违约金，违约金金额为500元/次，可在合同金额中予以抵扣。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2.4.2成交人在服务期内，因自身原因造成采购合同终止或考核没有通过无法签订下一年度的服务合同的，因此产生的所有经济损失由成交人自行承担，如给采购人造成的经济损失的，采购人将依法追究其法律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2.5协议终止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2.5.1、双方应严格遵守采购文件及响应文件约定事宜，若因政策原因、不可抗力或其他不能协调解决的原因需变更或提前终止合同的，应提前半月以上通知对方，双方友好协商解决，互不追究违约责任。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2.5.2、如成交人严重违约导致本项目无法继续履行的，守约方可以要求提前终止合同，并要求对方支付违约金，违约金为5000元（伍仟元整）。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3.项目服务要求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3.1保卫保洁服务要求：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【一】 人员要求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a.门卫2名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要求：坚守工作岗位，着装整洁，工作认真负责，服务热情周到，语言文明礼貌，工作时间按岗位要求执行。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b.保洁工3名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要求：该人员有良好的职业道德和敬业精神；工作积极主动，服务热情周到，语言文明礼貌；工作质量达到岗位要求，工作时间按岗位要求执行。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如成交人提供以上人员不达到要求，采购人可提出更换。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【二】 主要服务要求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（一） 门卫保安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1  门卫保安管辖范围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成都市武侯区疾病预防控制中心办公区范围。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  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（1）  文明服务，礼貌待人。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 外来人员来访，门卫处认真确认、登记后，方可放行，禁止闲杂人员或非本单位车辆进入.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（3）负责车棚、大门口内外的地面卫生以及门卫室内卫生，确保卫生区域及周围环境卫生的干净整洁。</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（4）负责报纸、信件、快递及包裹的接收和登记工作，对快递、急件、汇款单要妥善保管，及时转送，做好登记签字。</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（5） 每天对办公楼的水电、门窗等设施进行一次巡察，观察是否有漏电、漏水等现象，是否存在安全隐患，发现问题要及时汇报、处理、并做好相关的记录工作。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（二）后勤保洁</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1  保洁范围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办公楼的过道、楼梯、大厅、公共场所、卫生间等保洁。会议室、屋顶、培训室、体检室、采血室、注射室、窗户每月擦一次。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  保洁质量标准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（1）保洁标准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室内卫生</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①  天花板、四壁无积尘、蛛网。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②  天窗、玻璃擦拭干净、无积尘、无污迹。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③  灯管、灯罩、电器开关及各种管道、干净无积尘。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④  洗手池、痰盂、污物桶、盆等卫生设施清洁、无污垢。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⑤  地面干净，无污迹、烟头、无痰迹、无纸屑、无积水。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640" w:firstLineChars="4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⑥  公共场所的公共设施，楼层的固定椅及消防器材等设施保持洁净，无尘无垢。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环境卫生</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路面清洁卫生、无卫生死角。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无烟头、纸屑等；卫生设施外观保持整洁；果屑箱内无隔夜垃圾。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绿化区无垃圾、积水污水。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承包范围内露天平台上清洁干净、无烟头、污物。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⑤  定期对全院室内、外环境进行消毒、灭四害，“四害”密度控制在国家卫生标准之内。</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   卫生间卫生</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①  地面蹲位、门窗、玻璃清洁、无污迹；天花板无蛛网；电器清洁无尘。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②  地面无烟头、污物、污水、纸屑。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③  便池无垢、无蝇蛆、无臭味。</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④  物品按规定摆放有序。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（2）保洁工作质量达到疾控中心、街道办事处和主管部门的卫生检查要求。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（3）保洁范围标准符合市卫生系统和疾控中心主管部门的卫生检查有关标准。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（三）植物租摆、绿化养护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1.植物租摆大盆植物58盆，小盆植物72盆；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2.院内及屋顶公共绿化区域的日常养护；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3.要求：植物租赁与摆放、维护由供应商提供，植物品种随季节改变更换，并定期对所摆放的植物进行养护，发现有不能新鲜的植物及时更换。绿化养护根据相关标准进行日常养护管理，并根据公共绿化区域各类植物生长情况进行浇水、追肥、喷药杀虫杀菌、清除杂草、松土、整形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（四）后勤管理服务及临时驾驶服务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 xml:space="preserve">1.人员：后勤管理服务1名，不固定驾驶员1名，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 后勤管理服务内容：对疫苗冷库非工时间的温度监测、下雨天屋顶排水情况管理。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3. 后勤管理服务要求：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二、疫苗库房管理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责任心强的工作人员负责非工作时间的疫苗冷库管理，每天检查冷库的温度情况，并把检查的情况如实登记在记录表上。具体要求如下：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（一）冷库正常运转温度要求2-8℃。</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（二）非工作时间温度检查记录要求：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1．周一至周五晚间：每晚休息前巡视一次冷库门锁安全，并记录温度。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2．周末或节假日期间：早、中、晚各巡视一次（共三次）冷库门锁安全，并记录温度。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3．如遇停电、雷雨等异常天气，立即巡视冷库是否断电，并记录温度。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（三）一旦发现冷库温度异常（不在要求温度之内），立即通知采购人并协助做好搬苗、移库等应急处置工作；如遇停电，立即通知采购人并协助及时采取应急措施。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（四）如遇冷库维修，将视实际情况另行安排观察记录次数。</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（五）如遇事假等特殊情况需换班时，必须做好交接班及记录工作，确保冷库安全工作。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二、房顶楼面管理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如遇下雨天，供应商应主动到楼面检查排水是否流畅，如有问题应立即排除。如不能解决的问题，应立即通知采购人，并做好情况记录。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4.不固定驾驶员相关工作要求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（一）驾驶员身体健康，能胜任司机一职。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（二）驾驶员必须严格遵守采购人依法制定的各项内部规章制度，正常工作日内按时上下班，否则，采购人可以依照内部规定进行处罚或与成交人解除聘用驾驶员合同。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（三）驾驶员在工作期间内每天对车辆进行保养、擦洗；每天对车辆进行检查，保持车辆状况良好再行驶。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rightChars="0" w:firstLine="320" w:firstLineChars="200"/>
              <w:textAlignment w:val="auto"/>
              <w:rPr>
                <w:rFonts w:hint="eastAsia" w:ascii="Times New Roman" w:hAnsi="Times New Roman" w:cs="Times New Roman"/>
                <w:i w:val="0"/>
                <w:caps w:val="0"/>
                <w:color w:val="333333"/>
                <w:spacing w:val="0"/>
                <w:sz w:val="16"/>
                <w:szCs w:val="16"/>
                <w:lang w:eastAsia="zh-CN"/>
              </w:rPr>
            </w:pPr>
            <w:r>
              <w:rPr>
                <w:rFonts w:hint="eastAsia" w:ascii="Times New Roman" w:hAnsi="Times New Roman" w:cs="Times New Roman"/>
                <w:i w:val="0"/>
                <w:caps w:val="0"/>
                <w:color w:val="333333"/>
                <w:spacing w:val="0"/>
                <w:sz w:val="16"/>
                <w:szCs w:val="16"/>
                <w:lang w:eastAsia="zh-CN"/>
              </w:rPr>
              <w:t>（四）驾驶员不得私自出车或私自将车转交他人驾驶，违者视情节予以批评教育和处罚。若发生事故，一切责任（包括个人安全、经济损失、违章罚款）由成交人承担。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jc w:val="both"/>
              <w:textAlignment w:val="auto"/>
              <w:rPr>
                <w:rFonts w:hint="default"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16"/>
                <w:szCs w:val="16"/>
                <w:lang w:eastAsia="zh-CN"/>
              </w:rPr>
              <w:t>（五）车辆晚上应停放在指定车库内，车钥匙放在指定地点，特殊情况停不到车库时，也应停放在有人看管的停车场内，否则一切责任由成交人承担。</w:t>
            </w:r>
          </w:p>
        </w:tc>
      </w:tr>
      <w:tr>
        <w:tblPrEx>
          <w:tblCellMar>
            <w:top w:w="0" w:type="dxa"/>
            <w:left w:w="108" w:type="dxa"/>
            <w:bottom w:w="0" w:type="dxa"/>
            <w:right w:w="108" w:type="dxa"/>
          </w:tblCellMar>
        </w:tblPrEx>
        <w:trPr>
          <w:trHeight w:val="1870" w:hRule="atLeast"/>
        </w:trPr>
        <w:tc>
          <w:tcPr>
            <w:tcW w:w="10540" w:type="dxa"/>
            <w:gridSpan w:val="5"/>
            <w:tcBorders>
              <w:top w:val="single" w:color="auto" w:sz="4" w:space="0"/>
              <w:left w:val="single" w:color="auto" w:sz="4" w:space="0"/>
              <w:bottom w:val="single" w:color="auto" w:sz="4" w:space="0"/>
              <w:right w:val="single" w:color="auto" w:sz="4" w:space="0"/>
            </w:tcBorders>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报价单位承诺：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Times New Roman" w:hAnsi="Times New Roman" w:cs="Times New Roman"/>
                <w:i w:val="0"/>
                <w:caps w:val="0"/>
                <w:color w:val="333333"/>
                <w:spacing w:val="0"/>
                <w:sz w:val="24"/>
                <w:szCs w:val="24"/>
                <w:vertAlign w:val="baseline"/>
                <w:lang w:eastAsia="zh-CN"/>
              </w:rPr>
            </w:pPr>
            <w:r>
              <w:rPr>
                <w:rFonts w:hint="eastAsia" w:ascii="Times New Roman" w:hAnsi="Times New Roman" w:cs="Times New Roman"/>
                <w:i w:val="0"/>
                <w:caps w:val="0"/>
                <w:color w:val="333333"/>
                <w:spacing w:val="0"/>
                <w:sz w:val="24"/>
                <w:szCs w:val="24"/>
                <w:lang w:val="en-US" w:eastAsia="zh-CN"/>
              </w:rPr>
              <w:t>1.保证投标产品是符合《中华人民共和国产品质量法》要求，且产品质量符合行业要求。2. 保证所提交样品不低于招标文件要求者，若低于则视为无效报价文件。3. 保证所有物品均需根据采购方提供内容进行设计，最终设计方案需采购方认可方可制作。4. 保证最终所送产品需符合采购公告要求，且与所提供的样品品牌，规格，质量等参数保持一致。5.交货方式：将最终成品分别送到采购人指定的地点，并做好分发记录，送货完成后将分发记录、送货单、发票等材料一并交回采购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2、报价文件的印制签署及装订要求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报价文件需统一用A4纸印制，并由报价供应商的法定代表人或其授权代表在规定签章处签字装成册。</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资质文件及报价文件材料要求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（一）供应商资质文件和报价文件必须经密封盖章后送达。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（二）所有文件材料及复印件均须加盖鲜章。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（三）资质及报价文件必须在截止时间前送达指定地点，逾期送达的恕不接受。本次不接受邮寄的报价文件。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（四）供应商报价应是最终甲方对所有项目验收合格后的总价，包括项目的材料、人工、安装、清理、运输、税、费等所有费用。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  七、交货时间及付款方式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  （一）交货时间：成交供应商签定合同后15天内将最终成品送到采购人指定的地点。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  （二）付款方式：一次性支付总合同款。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  八、资质及报价文件送达时间要求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  供应商资质及报价文件送达截止时间为2022年1月11日17:00时（北京时间）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  送达地符波    联系电话：85063722    监督电话：028-85057996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   九、采购结果公示方式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r>
        <w:rPr>
          <w:rFonts w:hint="eastAsia" w:ascii="Times New Roman" w:hAnsi="Times New Roman" w:cs="Times New Roman"/>
          <w:i w:val="0"/>
          <w:caps w:val="0"/>
          <w:color w:val="333333"/>
          <w:spacing w:val="0"/>
          <w:sz w:val="24"/>
          <w:szCs w:val="24"/>
          <w:lang w:val="en-US" w:eastAsia="zh-CN"/>
        </w:rPr>
        <w:t>  本次采购项目采购询价邀请和采购结果在成都市武侯区疾病预防控制中心网站上以公告形式发布。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cs="Times New Roman"/>
          <w:i w:val="0"/>
          <w:caps w:val="0"/>
          <w:color w:val="333333"/>
          <w:spacing w:val="0"/>
          <w:sz w:val="24"/>
          <w:szCs w:val="24"/>
          <w:lang w:eastAsia="zh-CN"/>
        </w:rPr>
      </w:pPr>
    </w:p>
    <w:p>
      <w:pPr>
        <w:numPr>
          <w:ilvl w:val="0"/>
          <w:numId w:val="0"/>
        </w:numP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default" w:ascii="Times New Roman" w:hAnsi="Times New Roman" w:cs="Times New Roman"/>
          <w:i w:val="0"/>
          <w:caps w:val="0"/>
          <w:color w:val="333333"/>
          <w:spacing w:val="0"/>
          <w:sz w:val="24"/>
          <w:szCs w:val="24"/>
        </w:rPr>
        <w:t> </w:t>
      </w:r>
    </w:p>
    <w:p>
      <w:pPr>
        <w:numPr>
          <w:ilvl w:val="0"/>
          <w:numId w:val="0"/>
        </w:numPr>
        <w:rPr>
          <w:rFonts w:hint="eastAsia" w:ascii="宋体" w:hAnsi="宋体" w:eastAsia="宋体" w:cs="宋体"/>
          <w:color w:val="000000" w:themeColor="text1"/>
          <w:kern w:val="0"/>
          <w:sz w:val="24"/>
          <w:szCs w:val="24"/>
          <w:lang w:val="en-US" w:eastAsia="zh-CN"/>
          <w14:textFill>
            <w14:solidFill>
              <w14:schemeClr w14:val="tx1"/>
            </w14:solidFill>
          </w14:textFill>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2F174"/>
    <w:multiLevelType w:val="singleLevel"/>
    <w:tmpl w:val="9602F17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A73AB"/>
    <w:rsid w:val="03476568"/>
    <w:rsid w:val="179A73AB"/>
    <w:rsid w:val="181B6963"/>
    <w:rsid w:val="19BC1D6B"/>
    <w:rsid w:val="1DFF2A9A"/>
    <w:rsid w:val="1ED34C73"/>
    <w:rsid w:val="22563E91"/>
    <w:rsid w:val="2CE54EB2"/>
    <w:rsid w:val="420C7FC8"/>
    <w:rsid w:val="427B62F9"/>
    <w:rsid w:val="51980C03"/>
    <w:rsid w:val="57CB380A"/>
    <w:rsid w:val="5857627A"/>
    <w:rsid w:val="5E4F5C63"/>
    <w:rsid w:val="608070FB"/>
    <w:rsid w:val="62CE190E"/>
    <w:rsid w:val="68071971"/>
    <w:rsid w:val="6C906C4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Table Paragraph"/>
    <w:basedOn w:val="1"/>
    <w:qFormat/>
    <w:uiPriority w:val="1"/>
    <w:rPr>
      <w:rFonts w:ascii="宋体" w:hAnsi="宋体" w:eastAsia="宋体" w:cs="宋体"/>
      <w:lang w:val="zh-CN" w:eastAsia="zh-CN" w:bidi="zh-CN"/>
    </w:rPr>
  </w:style>
  <w:style w:type="paragraph" w:customStyle="1" w:styleId="11">
    <w:name w:val="样式"/>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2018-10-10T02:31:00Z</dcterms:created>
  <dc:creator>疾卫卫士采购</dc:creator>
  <cp:lastModifiedBy>Administrator</cp:lastModifiedBy>
  <dcterms:modified xsi:type="dcterms:W3CDTF">2022-03-14T06:13:02Z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