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更正内容：</w:t>
      </w:r>
    </w:p>
    <w:p>
      <w:pPr>
        <w:spacing w:line="579"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一、原文件项目简介中的</w:t>
      </w:r>
      <w:bookmarkStart w:id="0" w:name="_GoBack"/>
      <w:bookmarkEnd w:id="0"/>
      <w:r>
        <w:rPr>
          <w:rFonts w:hint="eastAsia" w:ascii="方正仿宋_GBK" w:hAnsi="方正仿宋_GBK" w:eastAsia="方正仿宋_GBK" w:cs="方正仿宋_GBK"/>
          <w:b/>
          <w:bCs/>
          <w:sz w:val="32"/>
          <w:szCs w:val="32"/>
        </w:rPr>
        <w:t>项目内容表格</w:t>
      </w:r>
    </w:p>
    <w:p>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yellow"/>
        </w:rPr>
        <w:t>增加监测方法：</w:t>
      </w:r>
    </w:p>
    <w:p>
      <w:pPr>
        <w:pStyle w:val="4"/>
        <w:widowControl/>
        <w:spacing w:beforeAutospacing="0" w:afterAutospacing="0" w:line="579"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（1）常规鼠密度监测。采用夹夜法，鼠夹统一选用中型钢板夹（12cm×6.5cm），每个监测点选4个监测区域各布放50个鼠夹，3个监测点每次监测共计布放600个鼠夹。</w:t>
      </w:r>
    </w:p>
    <w:p>
      <w:pPr>
        <w:pStyle w:val="4"/>
        <w:widowControl/>
        <w:spacing w:beforeAutospacing="0" w:afterAutospacing="0" w:line="579"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（2）春秋季灭鼠前后密度监测。</w:t>
      </w:r>
    </w:p>
    <w:p>
      <w:pPr>
        <w:pStyle w:val="4"/>
        <w:widowControl/>
        <w:spacing w:beforeAutospacing="0" w:afterAutospacing="0" w:line="579"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①粉块法。餐馆外环境、宾馆、食堂、单位、居民区、建筑工地、农贸市场等7类场所采用粉块法。粉块采用20×20厘米规格，每15㎡布放2块粉块，7类场所每次监测共计布放约900个粉块。</w:t>
      </w:r>
    </w:p>
    <w:p>
      <w:pPr>
        <w:spacing w:line="579"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②目测法。绿化带采用目测法，每次在武侯区内不同方位选取3处绿化带查看鼠迹，每处检查1000米。</w:t>
      </w:r>
    </w:p>
    <w:p>
      <w:pPr>
        <w:spacing w:line="579"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二、原文件项目的评审方法</w:t>
      </w:r>
    </w:p>
    <w:p>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由</w:t>
      </w:r>
      <w:r>
        <w:rPr>
          <w:rFonts w:hint="eastAsia" w:ascii="方正仿宋_GBK" w:hAnsi="方正仿宋_GBK" w:eastAsia="方正仿宋_GBK" w:cs="方正仿宋_GBK"/>
          <w:sz w:val="32"/>
          <w:szCs w:val="32"/>
        </w:rPr>
        <w:t>采用有效最低价法</w:t>
      </w:r>
      <w:r>
        <w:rPr>
          <w:rFonts w:hint="eastAsia" w:ascii="方正仿宋_GBK" w:hAnsi="方正仿宋_GBK" w:eastAsia="方正仿宋_GBK" w:cs="方正仿宋_GBK"/>
          <w:kern w:val="0"/>
          <w:sz w:val="32"/>
          <w:szCs w:val="32"/>
          <w:highlight w:val="yellow"/>
        </w:rPr>
        <w:t>变更为：</w:t>
      </w:r>
      <w:r>
        <w:rPr>
          <w:rFonts w:hint="eastAsia" w:ascii="方正仿宋_GBK" w:hAnsi="方正仿宋_GBK" w:eastAsia="方正仿宋_GBK" w:cs="方正仿宋_GBK"/>
          <w:sz w:val="32"/>
          <w:szCs w:val="32"/>
        </w:rPr>
        <w:t>采用综合评分法。</w:t>
      </w:r>
    </w:p>
    <w:p>
      <w:pPr>
        <w:spacing w:line="579"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三、原文件供应商资质文件及报价文件材料</w:t>
      </w:r>
    </w:p>
    <w:p>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highlight w:val="yellow"/>
        </w:rPr>
        <w:t>增加：</w:t>
      </w:r>
    </w:p>
    <w:p>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供应商技术及服务能力需提供下述材料</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1．项目方案：包含工作流程、进度安排、质量控制、保障措施等内容，方案全面、有针对性、技术可行。</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2．项目所需用具、耗材：用具、耗材环保、安全，其品质、性能满足本项目需要。</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3．应急预案：突发性事件的应急处理措施全面、有效，具有可操作性。</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4．服务质量保障：针对人员管理、服务内容、服务质量、服务效率提供科学合理的质控和保障方案。</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5．服务承诺及采取的保证措施：服务承诺合理，保证措施有效。</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6．同类业绩：近3年参与过的与本项目相同或相似的项目业绩。</w:t>
      </w:r>
    </w:p>
    <w:p>
      <w:pPr>
        <w:pStyle w:val="4"/>
        <w:widowControl/>
        <w:spacing w:beforeAutospacing="0" w:afterAutospacing="0" w:line="579"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kern w:val="2"/>
          <w:sz w:val="32"/>
          <w:szCs w:val="32"/>
        </w:rPr>
        <w:t>四、原文件报价表</w:t>
      </w:r>
    </w:p>
    <w:tbl>
      <w:tblPr>
        <w:tblStyle w:val="5"/>
        <w:tblW w:w="8878" w:type="dxa"/>
        <w:tblInd w:w="0" w:type="dxa"/>
        <w:tblLayout w:type="fixed"/>
        <w:tblCellMar>
          <w:top w:w="0" w:type="dxa"/>
          <w:left w:w="108" w:type="dxa"/>
          <w:bottom w:w="0" w:type="dxa"/>
          <w:right w:w="108" w:type="dxa"/>
        </w:tblCellMar>
      </w:tblPr>
      <w:tblGrid>
        <w:gridCol w:w="2975"/>
        <w:gridCol w:w="2453"/>
        <w:gridCol w:w="1855"/>
        <w:gridCol w:w="1595"/>
      </w:tblGrid>
      <w:tr>
        <w:tblPrEx>
          <w:tblCellMar>
            <w:top w:w="0" w:type="dxa"/>
            <w:left w:w="108" w:type="dxa"/>
            <w:bottom w:w="0" w:type="dxa"/>
            <w:right w:w="108" w:type="dxa"/>
          </w:tblCellMar>
        </w:tblPrEx>
        <w:trPr>
          <w:trHeight w:val="583" w:hRule="atLeast"/>
        </w:trPr>
        <w:tc>
          <w:tcPr>
            <w:tcW w:w="2975" w:type="dxa"/>
            <w:tcBorders>
              <w:top w:val="single" w:color="auto" w:sz="4" w:space="0"/>
              <w:left w:val="single" w:color="auto" w:sz="4" w:space="0"/>
              <w:bottom w:val="single" w:color="auto" w:sz="4" w:space="0"/>
              <w:right w:val="single" w:color="auto" w:sz="4" w:space="0"/>
            </w:tcBorders>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采购项目</w:t>
            </w:r>
          </w:p>
        </w:tc>
        <w:tc>
          <w:tcPr>
            <w:tcW w:w="2453" w:type="dxa"/>
            <w:tcBorders>
              <w:top w:val="single" w:color="auto" w:sz="4" w:space="0"/>
              <w:left w:val="nil"/>
              <w:bottom w:val="single" w:color="auto" w:sz="4" w:space="0"/>
              <w:right w:val="single" w:color="auto" w:sz="4" w:space="0"/>
            </w:tcBorders>
            <w:vAlign w:val="center"/>
          </w:tcPr>
          <w:p>
            <w:pPr>
              <w:pStyle w:val="4"/>
              <w:widowControl/>
              <w:spacing w:beforeAutospacing="0" w:afterAutospacing="0" w:line="360" w:lineRule="exact"/>
              <w:ind w:firstLine="560" w:firstLineChars="200"/>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数量</w:t>
            </w:r>
          </w:p>
        </w:tc>
        <w:tc>
          <w:tcPr>
            <w:tcW w:w="1855" w:type="dxa"/>
            <w:tcBorders>
              <w:top w:val="single" w:color="auto" w:sz="4" w:space="0"/>
              <w:left w:val="nil"/>
              <w:bottom w:val="single" w:color="auto" w:sz="4" w:space="0"/>
              <w:right w:val="single" w:color="auto" w:sz="4" w:space="0"/>
            </w:tcBorders>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单价（元）</w:t>
            </w:r>
          </w:p>
        </w:tc>
        <w:tc>
          <w:tcPr>
            <w:tcW w:w="1595" w:type="dxa"/>
            <w:tcBorders>
              <w:top w:val="single" w:color="auto" w:sz="4" w:space="0"/>
              <w:left w:val="nil"/>
              <w:bottom w:val="single" w:color="auto" w:sz="4" w:space="0"/>
              <w:right w:val="single" w:color="auto" w:sz="4" w:space="0"/>
            </w:tcBorders>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合计（元）</w:t>
            </w:r>
          </w:p>
        </w:tc>
      </w:tr>
      <w:tr>
        <w:tblPrEx>
          <w:tblCellMar>
            <w:top w:w="0" w:type="dxa"/>
            <w:left w:w="108" w:type="dxa"/>
            <w:bottom w:w="0" w:type="dxa"/>
            <w:right w:w="108" w:type="dxa"/>
          </w:tblCellMar>
        </w:tblPrEx>
        <w:trPr>
          <w:trHeight w:val="638" w:hRule="atLeast"/>
        </w:trPr>
        <w:tc>
          <w:tcPr>
            <w:tcW w:w="2975" w:type="dxa"/>
            <w:tcBorders>
              <w:top w:val="nil"/>
              <w:left w:val="single" w:color="auto" w:sz="4" w:space="0"/>
              <w:bottom w:val="single" w:color="auto" w:sz="4" w:space="0"/>
              <w:right w:val="single" w:color="auto" w:sz="4" w:space="0"/>
            </w:tcBorders>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2453" w:type="dxa"/>
            <w:tcBorders>
              <w:top w:val="nil"/>
              <w:left w:val="nil"/>
              <w:bottom w:val="single" w:color="auto" w:sz="4" w:space="0"/>
              <w:right w:val="single" w:color="auto" w:sz="4" w:space="0"/>
            </w:tcBorders>
            <w:vAlign w:val="center"/>
          </w:tcPr>
          <w:p>
            <w:pPr>
              <w:pStyle w:val="4"/>
              <w:widowControl/>
              <w:spacing w:beforeAutospacing="0" w:afterAutospacing="0" w:line="3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855" w:type="dxa"/>
            <w:tcBorders>
              <w:top w:val="nil"/>
              <w:left w:val="nil"/>
              <w:bottom w:val="single" w:color="auto" w:sz="4" w:space="0"/>
              <w:right w:val="single" w:color="auto" w:sz="4" w:space="0"/>
            </w:tcBorders>
            <w:vAlign w:val="center"/>
          </w:tcPr>
          <w:p>
            <w:pPr>
              <w:pStyle w:val="4"/>
              <w:widowControl/>
              <w:spacing w:beforeAutospacing="0" w:afterAutospacing="0" w:line="360" w:lineRule="exact"/>
              <w:ind w:firstLine="560" w:firstLineChars="200"/>
              <w:jc w:val="both"/>
              <w:rPr>
                <w:rFonts w:ascii="方正仿宋_GBK" w:hAnsi="方正仿宋_GBK" w:eastAsia="方正仿宋_GBK" w:cs="方正仿宋_GBK"/>
                <w:sz w:val="28"/>
                <w:szCs w:val="28"/>
              </w:rPr>
            </w:pPr>
          </w:p>
        </w:tc>
        <w:tc>
          <w:tcPr>
            <w:tcW w:w="1595" w:type="dxa"/>
            <w:tcBorders>
              <w:top w:val="nil"/>
              <w:left w:val="nil"/>
              <w:bottom w:val="single" w:color="auto" w:sz="4" w:space="0"/>
              <w:right w:val="single" w:color="auto" w:sz="4" w:space="0"/>
            </w:tcBorders>
            <w:vAlign w:val="center"/>
          </w:tcPr>
          <w:p>
            <w:pPr>
              <w:pStyle w:val="4"/>
              <w:widowControl/>
              <w:spacing w:beforeAutospacing="0" w:afterAutospacing="0" w:line="360" w:lineRule="exact"/>
              <w:ind w:firstLine="560" w:firstLineChars="200"/>
              <w:jc w:val="both"/>
              <w:rPr>
                <w:rFonts w:ascii="方正仿宋_GBK" w:hAnsi="方正仿宋_GBK" w:eastAsia="方正仿宋_GBK" w:cs="方正仿宋_GBK"/>
                <w:sz w:val="28"/>
                <w:szCs w:val="28"/>
              </w:rPr>
            </w:pPr>
          </w:p>
        </w:tc>
      </w:tr>
    </w:tbl>
    <w:p>
      <w:pPr>
        <w:pStyle w:val="4"/>
        <w:widowControl/>
        <w:spacing w:beforeAutospacing="0" w:afterAutospacing="0" w:line="579" w:lineRule="exact"/>
        <w:ind w:firstLine="640" w:firstLineChars="200"/>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yellow"/>
        </w:rPr>
        <w:t>变更为：</w:t>
      </w:r>
    </w:p>
    <w:tbl>
      <w:tblPr>
        <w:tblStyle w:val="5"/>
        <w:tblW w:w="874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1404"/>
        <w:gridCol w:w="1473"/>
        <w:gridCol w:w="152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17"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采购项目</w:t>
            </w:r>
          </w:p>
        </w:tc>
        <w:tc>
          <w:tcPr>
            <w:tcW w:w="1404"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数量（次）</w:t>
            </w:r>
          </w:p>
        </w:tc>
        <w:tc>
          <w:tcPr>
            <w:tcW w:w="1473"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单价（元/次）</w:t>
            </w:r>
          </w:p>
        </w:tc>
        <w:tc>
          <w:tcPr>
            <w:tcW w:w="1527"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小计（元）</w:t>
            </w:r>
          </w:p>
        </w:tc>
        <w:tc>
          <w:tcPr>
            <w:tcW w:w="2128"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217"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常规鼠密度监测</w:t>
            </w:r>
          </w:p>
        </w:tc>
        <w:tc>
          <w:tcPr>
            <w:tcW w:w="1404"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6次</w:t>
            </w:r>
          </w:p>
        </w:tc>
        <w:tc>
          <w:tcPr>
            <w:tcW w:w="1473"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1527"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2128"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全年单月中旬各1次，每次3个监测点。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17"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春秋季灭鼠前后密度监测</w:t>
            </w:r>
          </w:p>
        </w:tc>
        <w:tc>
          <w:tcPr>
            <w:tcW w:w="1404"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4次</w:t>
            </w:r>
          </w:p>
        </w:tc>
        <w:tc>
          <w:tcPr>
            <w:tcW w:w="1473"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1527"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2128"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春秋季灭鼠前后各1次，每次监测29处场所。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17"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404"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10次</w:t>
            </w:r>
          </w:p>
        </w:tc>
        <w:tc>
          <w:tcPr>
            <w:tcW w:w="1473"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527"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2128" w:type="dxa"/>
            <w:vAlign w:val="center"/>
          </w:tcPr>
          <w:p>
            <w:pPr>
              <w:pStyle w:val="4"/>
              <w:widowControl/>
              <w:spacing w:beforeAutospacing="0" w:afterAutospacing="0" w:line="360" w:lineRule="exact"/>
              <w:ind w:firstLine="560" w:firstLineChars="200"/>
              <w:jc w:val="center"/>
              <w:rPr>
                <w:rFonts w:ascii="方正仿宋_GBK" w:hAnsi="方正仿宋_GBK" w:eastAsia="方正仿宋_GBK" w:cs="方正仿宋_GBK"/>
                <w:sz w:val="28"/>
                <w:szCs w:val="28"/>
              </w:rPr>
            </w:pPr>
          </w:p>
        </w:tc>
      </w:tr>
    </w:tbl>
    <w:p>
      <w:pPr>
        <w:pStyle w:val="4"/>
        <w:widowControl/>
        <w:spacing w:beforeAutospacing="0" w:afterAutospacing="0" w:line="579" w:lineRule="exact"/>
        <w:ind w:firstLine="643" w:firstLineChars="200"/>
        <w:rPr>
          <w:rFonts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五、原文件付款方式</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由一次性支付总合同款</w:t>
      </w:r>
      <w:r>
        <w:rPr>
          <w:rFonts w:hint="eastAsia" w:ascii="方正仿宋_GBK" w:hAnsi="方正仿宋_GBK" w:eastAsia="方正仿宋_GBK" w:cs="方正仿宋_GBK"/>
          <w:sz w:val="32"/>
          <w:szCs w:val="32"/>
          <w:highlight w:val="yellow"/>
        </w:rPr>
        <w:t>变更为：</w:t>
      </w:r>
      <w:r>
        <w:rPr>
          <w:rFonts w:hint="eastAsia" w:ascii="方正仿宋_GBK" w:hAnsi="方正仿宋_GBK" w:eastAsia="方正仿宋_GBK" w:cs="方正仿宋_GBK"/>
          <w:sz w:val="32"/>
          <w:szCs w:val="32"/>
        </w:rPr>
        <w:t>合同签订后预付合同总金额的50%，作为预付款，本项目经本中心验收合格后，支付合同总金额的50%。</w:t>
      </w:r>
    </w:p>
    <w:p>
      <w:pPr>
        <w:pStyle w:val="4"/>
        <w:widowControl/>
        <w:spacing w:beforeAutospacing="0" w:afterAutospacing="0" w:line="579" w:lineRule="exact"/>
        <w:ind w:firstLine="643" w:firstLineChars="200"/>
        <w:rPr>
          <w:rFonts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六、原文件资质文件及报价文件材料要求</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其中的所有文件材料及复印件均须加盖鲜章</w:t>
      </w:r>
      <w:r>
        <w:rPr>
          <w:rFonts w:hint="eastAsia" w:ascii="方正仿宋_GBK" w:hAnsi="方正仿宋_GBK" w:eastAsia="方正仿宋_GBK" w:cs="方正仿宋_GBK"/>
          <w:sz w:val="32"/>
          <w:szCs w:val="32"/>
          <w:highlight w:val="yellow"/>
        </w:rPr>
        <w:t>变更为：</w:t>
      </w:r>
      <w:r>
        <w:rPr>
          <w:rFonts w:hint="eastAsia" w:ascii="方正仿宋_GBK" w:hAnsi="方正仿宋_GBK" w:eastAsia="方正仿宋_GBK" w:cs="方正仿宋_GBK"/>
          <w:sz w:val="32"/>
          <w:szCs w:val="32"/>
        </w:rPr>
        <w:t>所有文件材料及复印件均须加盖鲜章，编制目录并装订成册。</w:t>
      </w:r>
    </w:p>
    <w:p>
      <w:pPr>
        <w:pStyle w:val="4"/>
        <w:widowControl/>
        <w:spacing w:beforeAutospacing="0" w:afterAutospacing="0" w:line="579"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七、原文件供应商资质及报价文件送达截止时间</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由2024年3月21日17:00时（北京时间）</w:t>
      </w:r>
      <w:r>
        <w:rPr>
          <w:rFonts w:hint="eastAsia" w:ascii="方正仿宋_GBK" w:hAnsi="方正仿宋_GBK" w:eastAsia="方正仿宋_GBK" w:cs="方正仿宋_GBK"/>
          <w:sz w:val="32"/>
          <w:szCs w:val="32"/>
          <w:highlight w:val="yellow"/>
        </w:rPr>
        <w:t>变更为：</w:t>
      </w:r>
      <w:r>
        <w:rPr>
          <w:rFonts w:hint="eastAsia" w:ascii="方正仿宋_GBK" w:hAnsi="方正仿宋_GBK" w:eastAsia="方正仿宋_GBK" w:cs="方正仿宋_GBK"/>
          <w:sz w:val="32"/>
          <w:szCs w:val="32"/>
        </w:rPr>
        <w:t>2024年4月8日17时（北京时间）。</w:t>
      </w:r>
    </w:p>
    <w:p>
      <w:pPr>
        <w:pStyle w:val="4"/>
        <w:widowControl/>
        <w:spacing w:beforeAutospacing="0" w:afterAutospacing="0" w:line="579"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kern w:val="2"/>
          <w:sz w:val="32"/>
          <w:szCs w:val="32"/>
        </w:rPr>
        <w:t>八、更正后的公告附后</w:t>
      </w:r>
    </w:p>
    <w:p>
      <w:pPr>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2"/>
        <w:widowControl/>
        <w:spacing w:beforeAutospacing="0" w:afterAutospacing="0" w:line="579" w:lineRule="exact"/>
        <w:jc w:val="center"/>
        <w:rPr>
          <w:rFonts w:hint="default" w:ascii="方正小标宋_GBK" w:hAnsi="方正小标宋_GBK" w:eastAsia="方正小标宋_GBK" w:cs="方正小标宋_GBK"/>
          <w:b w:val="0"/>
          <w:sz w:val="44"/>
          <w:szCs w:val="44"/>
        </w:rPr>
      </w:pPr>
    </w:p>
    <w:p>
      <w:pPr>
        <w:pStyle w:val="2"/>
        <w:widowControl/>
        <w:spacing w:beforeAutospacing="0" w:afterAutospacing="0" w:line="579" w:lineRule="exact"/>
        <w:jc w:val="center"/>
        <w:rPr>
          <w:rFonts w:hint="default" w:ascii="方正小标宋_GBK" w:hAnsi="方正小标宋_GBK" w:eastAsia="方正小标宋_GBK" w:cs="方正小标宋_GBK"/>
          <w:b w:val="0"/>
          <w:sz w:val="44"/>
          <w:szCs w:val="44"/>
        </w:rPr>
      </w:pPr>
      <w:r>
        <w:rPr>
          <w:rFonts w:ascii="方正小标宋_GBK" w:hAnsi="方正小标宋_GBK" w:eastAsia="方正小标宋_GBK" w:cs="方正小标宋_GBK"/>
          <w:b w:val="0"/>
          <w:sz w:val="44"/>
          <w:szCs w:val="44"/>
        </w:rPr>
        <w:t>成都市武侯区疾病预防控制中心</w:t>
      </w:r>
    </w:p>
    <w:p>
      <w:pPr>
        <w:pStyle w:val="2"/>
        <w:widowControl/>
        <w:spacing w:beforeAutospacing="0" w:afterAutospacing="0" w:line="579" w:lineRule="exact"/>
        <w:jc w:val="center"/>
        <w:rPr>
          <w:rFonts w:hint="default" w:ascii="方正仿宋_GBK" w:hAnsi="方正仿宋_GBK" w:eastAsia="方正仿宋_GBK" w:cs="方正仿宋_GBK"/>
          <w:b w:val="0"/>
          <w:sz w:val="32"/>
          <w:szCs w:val="32"/>
        </w:rPr>
      </w:pPr>
      <w:r>
        <w:rPr>
          <w:rFonts w:ascii="方正小标宋_GBK" w:hAnsi="方正小标宋_GBK" w:eastAsia="方正小标宋_GBK" w:cs="方正小标宋_GBK"/>
          <w:b w:val="0"/>
          <w:sz w:val="44"/>
          <w:szCs w:val="44"/>
        </w:rPr>
        <w:t>采购项目比选公告（编号：whcdccg-2024-02）</w:t>
      </w:r>
    </w:p>
    <w:p>
      <w:pPr>
        <w:spacing w:line="579" w:lineRule="exact"/>
        <w:rPr>
          <w:rFonts w:ascii="方正仿宋_GBK" w:hAnsi="方正仿宋_GBK" w:eastAsia="方正仿宋_GBK" w:cs="方正仿宋_GBK"/>
          <w:sz w:val="32"/>
          <w:szCs w:val="32"/>
        </w:rPr>
      </w:pP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成都市武侯区疾病预防控制中心拟委托具有病媒生物防制合法资质的技术服务机构开展病媒生物鼠密度监测。</w:t>
      </w:r>
    </w:p>
    <w:p>
      <w:pPr>
        <w:pStyle w:val="4"/>
        <w:widowControl/>
        <w:spacing w:beforeAutospacing="0" w:afterAutospacing="0"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一、项目简介</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（一）项目编号：whcdccg-2024-02</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（二）项目名称：成都市武侯区疾病预防控制中心病媒生物鼠密度监测服务购买项目</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（三）资金来源：财政性资金</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（四）项目内容：病媒生物鼠密度监测</w:t>
      </w:r>
    </w:p>
    <w:tbl>
      <w:tblPr>
        <w:tblStyle w:val="6"/>
        <w:tblpPr w:leftFromText="180" w:rightFromText="180" w:vertAnchor="text" w:horzAnchor="page" w:tblpX="617" w:tblpY="571"/>
        <w:tblOverlap w:val="never"/>
        <w:tblW w:w="10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39"/>
        <w:gridCol w:w="760"/>
        <w:gridCol w:w="5346"/>
        <w:gridCol w:w="7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6"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项目内容</w:t>
            </w:r>
          </w:p>
        </w:tc>
        <w:tc>
          <w:tcPr>
            <w:tcW w:w="1639"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技术能力要求</w:t>
            </w:r>
          </w:p>
        </w:tc>
        <w:tc>
          <w:tcPr>
            <w:tcW w:w="760"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服务年限</w:t>
            </w:r>
          </w:p>
        </w:tc>
        <w:tc>
          <w:tcPr>
            <w:tcW w:w="5346"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监测内容、频次、范围及方法</w:t>
            </w:r>
          </w:p>
        </w:tc>
        <w:tc>
          <w:tcPr>
            <w:tcW w:w="795"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最高限价</w:t>
            </w:r>
          </w:p>
        </w:tc>
        <w:tc>
          <w:tcPr>
            <w:tcW w:w="1298"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76"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病媒生物鼠密度监测</w:t>
            </w:r>
          </w:p>
        </w:tc>
        <w:tc>
          <w:tcPr>
            <w:tcW w:w="1639"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1．供应商监测方法符合市级监测工作方案要求。</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2．供应商有满足本项目实施需求的监测器具、车辆。</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3．供应商为本项目配备专业技术人员，且人员具备市级以上（含）职业技能鉴定管理中心发放的《有害生物防制员职业资格证书》。</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4．有规范进行监测数据统计、汇总、分析及科学总结的能力。</w:t>
            </w:r>
          </w:p>
          <w:p>
            <w:pPr>
              <w:pStyle w:val="4"/>
              <w:widowControl/>
              <w:spacing w:beforeAutospacing="0" w:afterAutospacing="0" w:line="360" w:lineRule="exact"/>
              <w:jc w:val="both"/>
              <w:rPr>
                <w:rFonts w:ascii="方正仿宋_GBK" w:hAnsi="方正仿宋_GBK" w:eastAsia="方正仿宋_GBK" w:cs="方正仿宋_GBK"/>
                <w:sz w:val="28"/>
                <w:szCs w:val="28"/>
              </w:rPr>
            </w:pPr>
          </w:p>
        </w:tc>
        <w:tc>
          <w:tcPr>
            <w:tcW w:w="760"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2年</w:t>
            </w:r>
          </w:p>
        </w:tc>
        <w:tc>
          <w:tcPr>
            <w:tcW w:w="5346"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1．监测内容</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病媒生物鼠密度监测</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2．监测频次</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（1）常规鼠密度监测。单月（即1月、3月、5月、7月、9月、11月）中旬监测1次，每年6次；</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（2）春秋季灭鼠前后密度监测。春秋两季灭鼠前一周和灭鼠后两周开展监测各1次，每年4次。</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3．监测范围</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（1）常规鼠密度监测。随机选择城镇居民区、特殊行业（餐饮、食品制售）和农村自然村3个类型的监测点各1个，在每个监测点的不同方位选4个监测区域。</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（2）春秋季灭鼠前后密度监测。在11个街道办事处辖区随机选择不同类型场所开展调查，餐馆外环境13处、宾馆1处、食堂1处、单位1处、居民区5处、建筑工地2处、农贸市场3处、绿化带3处。</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4．监测方法</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（1）常规鼠密度监测。采用夹夜法，鼠夹统一选用中型钢板夹（12cm×6.5cm），每个监测点选4个监测区域各布放50个鼠夹，3个监测点每次监测共计布放600个鼠夹。</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（2）春秋季灭鼠前后密度监测。</w:t>
            </w:r>
          </w:p>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①粉块法。餐馆外环境、宾馆、食堂、单位、居民区、建筑工地、农贸市场等7类场所采用粉块法。粉块采用20×20厘米规格，每15㎡布放2块粉块，7类场所每次监测共计布放约900个粉块。</w:t>
            </w:r>
          </w:p>
          <w:p>
            <w:pPr>
              <w:pStyle w:val="4"/>
              <w:widowControl/>
              <w:spacing w:beforeAutospacing="0" w:afterAutospacing="0" w:line="36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②目测法。绿化带采用目测法，每次在武侯区内不同方位选取3处绿化带查看鼠迹，每处检查1000米。</w:t>
            </w:r>
          </w:p>
        </w:tc>
        <w:tc>
          <w:tcPr>
            <w:tcW w:w="795"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≤19500元/年</w:t>
            </w:r>
          </w:p>
        </w:tc>
        <w:tc>
          <w:tcPr>
            <w:tcW w:w="1298"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1．严格按照</w:t>
            </w:r>
            <w:r>
              <w:rPr>
                <w:rFonts w:hint="eastAsia" w:ascii="方正仿宋_GBK" w:hAnsi="方正仿宋_GBK" w:eastAsia="方正仿宋_GBK" w:cs="方正仿宋_GBK"/>
                <w:sz w:val="28"/>
                <w:szCs w:val="28"/>
                <w:lang w:val="zh-TW"/>
              </w:rPr>
              <w:t>工作方案及国家相关标准规范开展鼠密度</w:t>
            </w:r>
            <w:r>
              <w:rPr>
                <w:rFonts w:hint="eastAsia" w:ascii="方正仿宋_GBK" w:hAnsi="方正仿宋_GBK" w:eastAsia="方正仿宋_GBK" w:cs="方正仿宋_GBK"/>
                <w:sz w:val="28"/>
                <w:szCs w:val="28"/>
              </w:rPr>
              <w:t>监测工作，及时提交鼠密度监测数据。</w:t>
            </w:r>
          </w:p>
          <w:p>
            <w:pPr>
              <w:pStyle w:val="4"/>
              <w:widowControl/>
              <w:spacing w:beforeAutospacing="0" w:afterAutospacing="0" w:line="360" w:lineRule="exact"/>
              <w:jc w:val="both"/>
              <w:rPr>
                <w:rFonts w:ascii="方正仿宋_GBK" w:hAnsi="方正仿宋_GBK" w:eastAsia="方正仿宋_GBK" w:cs="方正仿宋_GBK"/>
                <w:sz w:val="28"/>
                <w:szCs w:val="28"/>
                <w:lang w:val="zh-TW"/>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zh-TW"/>
              </w:rPr>
              <w:t>整个监测工作接受中心质量控制。</w:t>
            </w:r>
          </w:p>
          <w:p>
            <w:pPr>
              <w:pStyle w:val="4"/>
              <w:widowControl/>
              <w:spacing w:beforeAutospacing="0" w:afterAutospacing="0" w:line="360" w:lineRule="exact"/>
              <w:jc w:val="both"/>
              <w:rPr>
                <w:rFonts w:ascii="方正仿宋_GBK" w:hAnsi="方正仿宋_GBK" w:eastAsia="方正仿宋_GBK" w:cs="方正仿宋_GBK"/>
                <w:sz w:val="28"/>
                <w:szCs w:val="28"/>
              </w:rPr>
            </w:pPr>
          </w:p>
        </w:tc>
      </w:tr>
    </w:tbl>
    <w:p>
      <w:pPr>
        <w:pStyle w:val="4"/>
        <w:widowControl/>
        <w:spacing w:beforeAutospacing="0" w:afterAutospacing="0"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二、项目评审方法：采用综合评分法。</w:t>
      </w:r>
    </w:p>
    <w:p>
      <w:pPr>
        <w:pStyle w:val="4"/>
        <w:widowControl/>
        <w:spacing w:beforeAutospacing="0" w:afterAutospacing="0"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三、供应商资质文件及报价文件材料</w:t>
      </w:r>
    </w:p>
    <w:p>
      <w:pPr>
        <w:pStyle w:val="4"/>
        <w:widowControl/>
        <w:spacing w:beforeAutospacing="0" w:afterAutospacing="0"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（一）供应商参加本次采购活动应具备下列资格条件</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1．具有独立承担民事责任能力的企业法人。</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2．人员具备市级以上（含）职业技能鉴定管理中心发放的《有害生物防制员职业资格证书》。</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3．具备相应的经营资格，参加本次政府采购活动前三年内，在经营活动中没有重大违法记录。</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4．符合法律、行政法规规定的其他条件。</w:t>
      </w:r>
    </w:p>
    <w:p>
      <w:pPr>
        <w:pStyle w:val="4"/>
        <w:widowControl/>
        <w:spacing w:beforeAutospacing="0" w:afterAutospacing="0"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（二）供应商资质文件需提供下述材料</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1．供应商经年检的企业营业执照副本（复印件），三证合一的单位提供具有统一社会信用代码的营业执照副本（复印件）。</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2．供应商税务登记证副本（复印件），三证合一的单位提供具有统一社会信用代码的营业执照副本（复印件）。</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3．供应商组织机构代码证副本（复印件），三证合一的单位提供具有统一社会信用代码的营业执照副本（复印件）。</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4．法定代表人身份证或法定代表人委托书。</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相关资质证书（复印件），必须包括：拟派项目组人员具备市级以上（含）职业技能鉴定管理中心发放的《有害生物防制员职业资格证书》资格证书的（注：须提供相关证书（或证明）复印件加盖供应商公章）。 </w:t>
      </w:r>
    </w:p>
    <w:p>
      <w:pPr>
        <w:pStyle w:val="4"/>
        <w:widowControl/>
        <w:spacing w:beforeAutospacing="0" w:afterAutospacing="0"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（三）供应商技术及服务能力需提供下述材料</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1．项目方案：包含工作流程、进度安排、质量控制、保障措施等内容，方案全面、有针对性、技术可行。</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2．项目所需用具、耗材：用具、耗材环保、安全，其品质、性能满足本项目需要。</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3．应急预案：突发性事件的应急处理措施全面、有效，具有可操作性。</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4．服务质量保障：针对人员管理、服务内容、服务质量、服务效率提供科学合理的质控和保障方案。</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5．服务承诺及采取的保证措施：服务承诺合理，保证措施有效。</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6．同类业绩：近3年参与过的与本项目相同或相似的项目业绩。</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（四）供应商报价文件需提供下述材料</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1．报价表（格式如下）：</w:t>
      </w:r>
    </w:p>
    <w:tbl>
      <w:tblPr>
        <w:tblStyle w:val="5"/>
        <w:tblW w:w="973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1868"/>
        <w:gridCol w:w="1677"/>
        <w:gridCol w:w="173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17"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采购项目</w:t>
            </w:r>
          </w:p>
        </w:tc>
        <w:tc>
          <w:tcPr>
            <w:tcW w:w="1868"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数量（次）</w:t>
            </w:r>
          </w:p>
        </w:tc>
        <w:tc>
          <w:tcPr>
            <w:tcW w:w="1677"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单价（元/次）</w:t>
            </w:r>
          </w:p>
        </w:tc>
        <w:tc>
          <w:tcPr>
            <w:tcW w:w="1732"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小计（元）</w:t>
            </w:r>
          </w:p>
        </w:tc>
        <w:tc>
          <w:tcPr>
            <w:tcW w:w="2241" w:type="dxa"/>
            <w:vAlign w:val="center"/>
          </w:tcPr>
          <w:p>
            <w:pPr>
              <w:pStyle w:val="4"/>
              <w:widowControl/>
              <w:spacing w:beforeAutospacing="0" w:afterAutospacing="0" w:line="360" w:lineRule="exact"/>
              <w:jc w:val="center"/>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217"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常规鼠密度监测</w:t>
            </w:r>
          </w:p>
        </w:tc>
        <w:tc>
          <w:tcPr>
            <w:tcW w:w="1868"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6次</w:t>
            </w:r>
          </w:p>
        </w:tc>
        <w:tc>
          <w:tcPr>
            <w:tcW w:w="1677"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1732"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2241"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全年单月中旬各1次，每次3个监测点。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17"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春秋季灭鼠前后密度监测</w:t>
            </w:r>
          </w:p>
        </w:tc>
        <w:tc>
          <w:tcPr>
            <w:tcW w:w="1868"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4次</w:t>
            </w:r>
          </w:p>
        </w:tc>
        <w:tc>
          <w:tcPr>
            <w:tcW w:w="1677"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1732"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2241" w:type="dxa"/>
            <w:vAlign w:val="center"/>
          </w:tcPr>
          <w:p>
            <w:pPr>
              <w:pStyle w:val="4"/>
              <w:widowControl/>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春秋季灭鼠前后各1次，每次监测29处场所。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17"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868"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10次</w:t>
            </w:r>
          </w:p>
        </w:tc>
        <w:tc>
          <w:tcPr>
            <w:tcW w:w="1677"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1732"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c>
          <w:tcPr>
            <w:tcW w:w="2241" w:type="dxa"/>
            <w:vAlign w:val="center"/>
          </w:tcPr>
          <w:p>
            <w:pPr>
              <w:pStyle w:val="4"/>
              <w:widowControl/>
              <w:spacing w:beforeAutospacing="0" w:afterAutospacing="0" w:line="360" w:lineRule="exact"/>
              <w:jc w:val="center"/>
              <w:rPr>
                <w:rFonts w:ascii="方正仿宋_GBK" w:hAnsi="方正仿宋_GBK" w:eastAsia="方正仿宋_GBK" w:cs="方正仿宋_GBK"/>
                <w:sz w:val="28"/>
                <w:szCs w:val="28"/>
              </w:rPr>
            </w:pPr>
          </w:p>
        </w:tc>
      </w:tr>
    </w:tbl>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2．报价文件的印制签署及装订要求</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报价文件需统一用A4纸印制，并由报价供应商的法定代表人或其授权代表在规定签章处签字装成册。</w:t>
      </w:r>
    </w:p>
    <w:p>
      <w:pPr>
        <w:pStyle w:val="4"/>
        <w:widowControl/>
        <w:spacing w:beforeAutospacing="0" w:afterAutospacing="0"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四、资质文件及报价文件材料要求</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（一）供应商资质文件和报价文件必须经密封盖章后送达。</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（二）所有文件材料及复印件均须加盖鲜章，编制目录并装订成册。</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（三）资质及报价文件必须在截止时间前送达指定地点，逾期送达的恕不接受。本次不接受邮寄的报价文件。</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（四）供应商报价应是最终本中心对所有项目验收合格后的总价，包括项目的人工、交通、税费等所有费用。</w:t>
      </w:r>
    </w:p>
    <w:p>
      <w:pPr>
        <w:pStyle w:val="4"/>
        <w:widowControl/>
        <w:spacing w:beforeAutospacing="0" w:afterAutospacing="0"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五、付款方式</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合同签订后预付合同总金额的50%，作为预付款，本项目经本中心验收合格后，支付合同总金额的50%。</w:t>
      </w:r>
    </w:p>
    <w:p>
      <w:pPr>
        <w:pStyle w:val="4"/>
        <w:widowControl/>
        <w:spacing w:beforeAutospacing="0" w:afterAutospacing="0"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六、资质及报价文件送达时间要求</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供应商资质及报价文件送达截止时间为2024年4月8日17时（北京时间）。</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送达地点：武侯区星狮路818号1栋4单元，成都市武侯区疾病预防控制中心（卫生科）</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联系人：杨老师；联系电话：028-85097918；监督电话：028-85057996</w:t>
      </w:r>
    </w:p>
    <w:p>
      <w:pPr>
        <w:pStyle w:val="4"/>
        <w:widowControl/>
        <w:spacing w:beforeAutospacing="0" w:afterAutospacing="0"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七、采购结果公示方式</w:t>
      </w:r>
    </w:p>
    <w:p>
      <w:pPr>
        <w:pStyle w:val="4"/>
        <w:widowControl/>
        <w:spacing w:beforeAutospacing="0" w:afterAutospacing="0"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本次采购结果在成都市武侯区疾病预防控制中心网站以公告形式发布。</w:t>
      </w:r>
    </w:p>
    <w:sectPr>
      <w:pgSz w:w="11906" w:h="16838"/>
      <w:pgMar w:top="2098" w:right="1531" w:bottom="113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34D4"/>
    <w:rsid w:val="000034D4"/>
    <w:rsid w:val="0007117F"/>
    <w:rsid w:val="000A1B4B"/>
    <w:rsid w:val="000E22EC"/>
    <w:rsid w:val="001270B7"/>
    <w:rsid w:val="003163B4"/>
    <w:rsid w:val="0038106B"/>
    <w:rsid w:val="005E75DF"/>
    <w:rsid w:val="006747F7"/>
    <w:rsid w:val="008E72C9"/>
    <w:rsid w:val="009C04C3"/>
    <w:rsid w:val="00BB5E78"/>
    <w:rsid w:val="07AE7F8E"/>
    <w:rsid w:val="0A7741D1"/>
    <w:rsid w:val="16043792"/>
    <w:rsid w:val="190F53D6"/>
    <w:rsid w:val="19F9437B"/>
    <w:rsid w:val="1FB96CDF"/>
    <w:rsid w:val="223963F8"/>
    <w:rsid w:val="25F742B0"/>
    <w:rsid w:val="295454FF"/>
    <w:rsid w:val="29AF6EB7"/>
    <w:rsid w:val="2FB506FF"/>
    <w:rsid w:val="348621BB"/>
    <w:rsid w:val="35CD32BB"/>
    <w:rsid w:val="368569CD"/>
    <w:rsid w:val="3E992657"/>
    <w:rsid w:val="416F5B1E"/>
    <w:rsid w:val="44910788"/>
    <w:rsid w:val="44AD1CE0"/>
    <w:rsid w:val="4BF45B80"/>
    <w:rsid w:val="4D1805E8"/>
    <w:rsid w:val="50505FD5"/>
    <w:rsid w:val="5CAA3D91"/>
    <w:rsid w:val="625254A7"/>
    <w:rsid w:val="677D5199"/>
    <w:rsid w:val="6CC83ED9"/>
    <w:rsid w:val="7A776483"/>
    <w:rsid w:val="7CB4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99"/>
    <w:pPr>
      <w:spacing w:before="60" w:after="60" w:line="360" w:lineRule="auto"/>
      <w:ind w:firstLine="200"/>
    </w:pPr>
    <w:rPr>
      <w:rFonts w:eastAsia="仿宋_GB2312"/>
      <w:sz w:val="32"/>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491</Words>
  <Characters>2805</Characters>
  <Lines>23</Lines>
  <Paragraphs>6</Paragraphs>
  <TotalTime>11</TotalTime>
  <ScaleCrop>false</ScaleCrop>
  <LinksUpToDate>false</LinksUpToDate>
  <CharactersWithSpaces>3290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2024-03-27T07:47:00Z</dcterms:created>
  <dc:creator>Admin</dc:creator>
  <cp:lastModifiedBy>ZH</cp:lastModifiedBy>
  <dcterms:modified xsi:type="dcterms:W3CDTF">2024-03-27T11:40:56Z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A2B57C9D55AA42EBB6766D9B6B4F73B0_13</vt:lpwstr>
  </property>
</Properties>
</file>