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wordWrap w:val="0"/>
        <w:spacing w:beforeAutospacing="0" w:afterAutospacing="0" w:line="579"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rPr>
        <w:t>附件1</w:t>
      </w:r>
    </w:p>
    <w:p>
      <w:pPr>
        <w:pStyle w:val="4"/>
        <w:widowControl/>
        <w:wordWrap w:val="0"/>
        <w:spacing w:beforeAutospacing="0" w:afterAutospacing="0" w:line="579" w:lineRule="exact"/>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响应文件要求及格式</w:t>
      </w:r>
    </w:p>
    <w:p>
      <w:pPr>
        <w:pStyle w:val="4"/>
        <w:widowControl/>
        <w:wordWrap w:val="0"/>
        <w:spacing w:beforeAutospacing="0" w:afterAutospacing="0" w:line="579" w:lineRule="exact"/>
        <w:jc w:val="center"/>
        <w:rPr>
          <w:rFonts w:hint="eastAsia" w:ascii="微软雅黑" w:hAnsi="微软雅黑" w:eastAsia="微软雅黑" w:cs="微软雅黑"/>
          <w:sz w:val="28"/>
          <w:szCs w:val="28"/>
        </w:rPr>
      </w:pP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一、响应文件内容</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（一）报价表。</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（二）供应商资格条件承诺函</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1</w:t>
      </w:r>
      <w:r>
        <w:rPr>
          <w:rFonts w:hint="eastAsia" w:ascii="微软雅黑" w:hAnsi="微软雅黑" w:eastAsia="微软雅黑" w:cs="微软雅黑"/>
          <w:sz w:val="28"/>
          <w:szCs w:val="28"/>
          <w:shd w:val="clear" w:color="auto" w:fill="FFFFFF"/>
        </w:rPr>
        <w:t>．</w:t>
      </w:r>
      <w:r>
        <w:rPr>
          <w:rFonts w:hint="eastAsia" w:ascii="微软雅黑" w:hAnsi="微软雅黑" w:eastAsia="微软雅黑" w:cs="微软雅黑"/>
          <w:sz w:val="28"/>
          <w:szCs w:val="28"/>
        </w:rPr>
        <w:t>具有独立承担民事责任的能力。</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2</w:t>
      </w:r>
      <w:r>
        <w:rPr>
          <w:rFonts w:hint="eastAsia" w:ascii="微软雅黑" w:hAnsi="微软雅黑" w:eastAsia="微软雅黑" w:cs="微软雅黑"/>
          <w:sz w:val="28"/>
          <w:szCs w:val="28"/>
          <w:shd w:val="clear" w:color="auto" w:fill="FFFFFF"/>
        </w:rPr>
        <w:t>．</w:t>
      </w:r>
      <w:r>
        <w:rPr>
          <w:rFonts w:hint="eastAsia" w:ascii="微软雅黑" w:hAnsi="微软雅黑" w:eastAsia="微软雅黑" w:cs="微软雅黑"/>
          <w:sz w:val="28"/>
          <w:szCs w:val="28"/>
        </w:rPr>
        <w:t>具备良好的商业信誉和健全的财务会计制度。</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3．有依法缴纳税收的良好记录。</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4．参加本次采购活动前三年内，在经营活动中没有重大违法记录。</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5．供应商未被列入“信用中国”网站（www.creditchina.gov.cn）失信被执行人、重大税收违法案件当事人名单、政府采购严重违法失信名单。</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shd w:val="clear" w:color="auto" w:fill="FFFFFF"/>
        </w:rPr>
        <w:t>6．</w:t>
      </w:r>
      <w:r>
        <w:rPr>
          <w:rFonts w:hint="eastAsia" w:ascii="微软雅黑" w:hAnsi="微软雅黑" w:eastAsia="微软雅黑" w:cs="微软雅黑"/>
          <w:sz w:val="28"/>
          <w:szCs w:val="28"/>
        </w:rPr>
        <w:t>法律、行政法规规定的其他条件。</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（三）供应商资格条件证明文件</w:t>
      </w:r>
    </w:p>
    <w:p>
      <w:pPr>
        <w:pStyle w:val="4"/>
        <w:widowControl/>
        <w:spacing w:beforeAutospacing="0" w:afterAutospacing="0" w:line="5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1、供应商经年检的组织登记证书、机构代码证（复印件）三证合一的单位提供具有统一社会信用代码的组织登记证书副本(复印件)；</w:t>
      </w:r>
    </w:p>
    <w:p>
      <w:pPr>
        <w:pStyle w:val="4"/>
        <w:widowControl/>
        <w:spacing w:beforeAutospacing="0" w:afterAutospacing="0" w:line="56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2、法人代表身份证或法人代表委托书；</w:t>
      </w:r>
    </w:p>
    <w:p>
      <w:pPr>
        <w:ind w:firstLine="560" w:firstLineChars="200"/>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3、成立时间3年以上，有稳定的工作队伍（具备3名以上专（兼）职工作人员），工作人员对服务人群有一定的了解，近两年有开展相关艾滋病防治工作的经验，具有良好信誉，与当地政府部门、专业机构有良好的合作关系。</w:t>
      </w:r>
    </w:p>
    <w:p>
      <w:pPr>
        <w:ind w:firstLine="560" w:firstLineChars="200"/>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4、凡经登记注册（民政、工商）的社区组织，具备完善的组织机构、健全的财务制度和独立的银行账户。申报机构需提供民政部门登记证明和上一年度年检合格证明。</w:t>
      </w:r>
    </w:p>
    <w:p>
      <w:pPr>
        <w:ind w:firstLine="560" w:firstLineChars="200"/>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5、未经民政登记的小组，其项目经费必须由符合条件的托管机构进行资金托管。</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bookmarkStart w:id="0" w:name="_GoBack"/>
      <w:bookmarkEnd w:id="0"/>
      <w:r>
        <w:rPr>
          <w:rFonts w:hint="eastAsia" w:ascii="微软雅黑" w:hAnsi="微软雅黑" w:eastAsia="微软雅黑" w:cs="微软雅黑"/>
          <w:sz w:val="28"/>
          <w:szCs w:val="28"/>
        </w:rPr>
        <w:t>（四）非法定代表人签署响应文件时，提供法定代表人授权书原件以及法定代表人和代理人的有效身份证件复印件；法定代表人直接参与并签署响应文件时，提供法定代表人证明书原件和法定代表人的有效身份证件复印件。</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（五）供应商技术及服务能力需提供下述材料</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1. 项目报价：满足比选文件实质性要求的报价单；</w:t>
      </w:r>
    </w:p>
    <w:p>
      <w:pPr>
        <w:pStyle w:val="4"/>
        <w:widowControl/>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2．项目方案：包含工作流程、质量控制、保障措施等内容，方案全面、有针对性、技术可行。</w:t>
      </w:r>
    </w:p>
    <w:p>
      <w:pPr>
        <w:pStyle w:val="4"/>
        <w:widowControl/>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3．服务承诺及保证措施：作出优先为我中心提供服务的承诺，保证措施有效。</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4．同类业绩：近5年参与过的与本项目相同或相似的项目业绩。</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（六）综合评分明细表</w:t>
      </w:r>
    </w:p>
    <w:tbl>
      <w:tblPr>
        <w:tblStyle w:val="6"/>
        <w:tblW w:w="885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408"/>
        <w:gridCol w:w="688"/>
        <w:gridCol w:w="5118"/>
        <w:gridCol w:w="8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noWrap w:val="0"/>
            <w:vAlign w:val="center"/>
          </w:tcPr>
          <w:p>
            <w:pPr>
              <w:spacing w:line="276" w:lineRule="auto"/>
              <w:jc w:val="center"/>
              <w:rPr>
                <w:rFonts w:hint="eastAsia" w:ascii="微软雅黑" w:hAnsi="微软雅黑" w:eastAsia="微软雅黑" w:cs="微软雅黑"/>
                <w:b/>
                <w:bCs/>
                <w:sz w:val="28"/>
                <w:szCs w:val="28"/>
              </w:rPr>
            </w:pPr>
            <w:r>
              <w:rPr>
                <w:rFonts w:hint="eastAsia" w:ascii="微软雅黑" w:hAnsi="微软雅黑" w:eastAsia="微软雅黑" w:cs="微软雅黑"/>
                <w:bCs/>
                <w:sz w:val="28"/>
                <w:szCs w:val="28"/>
              </w:rPr>
              <w:t>序号</w:t>
            </w:r>
          </w:p>
        </w:tc>
        <w:tc>
          <w:tcPr>
            <w:tcW w:w="1408" w:type="dxa"/>
            <w:noWrap w:val="0"/>
            <w:vAlign w:val="center"/>
          </w:tcPr>
          <w:p>
            <w:pPr>
              <w:spacing w:line="276" w:lineRule="auto"/>
              <w:jc w:val="center"/>
              <w:rPr>
                <w:rFonts w:hint="eastAsia" w:ascii="微软雅黑" w:hAnsi="微软雅黑" w:eastAsia="微软雅黑" w:cs="微软雅黑"/>
                <w:b/>
                <w:bCs/>
                <w:sz w:val="28"/>
                <w:szCs w:val="28"/>
              </w:rPr>
            </w:pPr>
            <w:r>
              <w:rPr>
                <w:rFonts w:hint="eastAsia" w:ascii="微软雅黑" w:hAnsi="微软雅黑" w:eastAsia="微软雅黑" w:cs="微软雅黑"/>
                <w:bCs/>
                <w:sz w:val="28"/>
                <w:szCs w:val="28"/>
              </w:rPr>
              <w:t>评分因素及权重</w:t>
            </w:r>
          </w:p>
        </w:tc>
        <w:tc>
          <w:tcPr>
            <w:tcW w:w="688" w:type="dxa"/>
            <w:noWrap w:val="0"/>
            <w:vAlign w:val="center"/>
          </w:tcPr>
          <w:p>
            <w:pPr>
              <w:spacing w:line="276" w:lineRule="auto"/>
              <w:jc w:val="center"/>
              <w:rPr>
                <w:rFonts w:hint="eastAsia" w:ascii="微软雅黑" w:hAnsi="微软雅黑" w:eastAsia="微软雅黑" w:cs="微软雅黑"/>
                <w:b/>
                <w:bCs/>
                <w:sz w:val="28"/>
                <w:szCs w:val="28"/>
              </w:rPr>
            </w:pPr>
            <w:r>
              <w:rPr>
                <w:rFonts w:hint="eastAsia" w:ascii="微软雅黑" w:hAnsi="微软雅黑" w:eastAsia="微软雅黑" w:cs="微软雅黑"/>
                <w:bCs/>
                <w:sz w:val="28"/>
                <w:szCs w:val="28"/>
              </w:rPr>
              <w:t>分值</w:t>
            </w:r>
          </w:p>
        </w:tc>
        <w:tc>
          <w:tcPr>
            <w:tcW w:w="5118" w:type="dxa"/>
            <w:noWrap w:val="0"/>
            <w:vAlign w:val="center"/>
          </w:tcPr>
          <w:p>
            <w:pPr>
              <w:spacing w:line="276" w:lineRule="auto"/>
              <w:jc w:val="center"/>
              <w:rPr>
                <w:rFonts w:hint="eastAsia" w:ascii="微软雅黑" w:hAnsi="微软雅黑" w:eastAsia="微软雅黑" w:cs="微软雅黑"/>
                <w:b/>
                <w:bCs/>
                <w:sz w:val="28"/>
                <w:szCs w:val="28"/>
              </w:rPr>
            </w:pPr>
            <w:r>
              <w:rPr>
                <w:rFonts w:hint="eastAsia" w:ascii="微软雅黑" w:hAnsi="微软雅黑" w:eastAsia="微软雅黑" w:cs="微软雅黑"/>
                <w:bCs/>
                <w:sz w:val="28"/>
                <w:szCs w:val="28"/>
              </w:rPr>
              <w:t>评分标准</w:t>
            </w:r>
          </w:p>
        </w:tc>
        <w:tc>
          <w:tcPr>
            <w:tcW w:w="881" w:type="dxa"/>
            <w:noWrap w:val="0"/>
            <w:vAlign w:val="center"/>
          </w:tcPr>
          <w:p>
            <w:pPr>
              <w:spacing w:line="276" w:lineRule="auto"/>
              <w:jc w:val="center"/>
              <w:rPr>
                <w:rFonts w:hint="eastAsia" w:ascii="微软雅黑" w:hAnsi="微软雅黑" w:eastAsia="微软雅黑" w:cs="微软雅黑"/>
                <w:b/>
                <w:bCs/>
                <w:sz w:val="28"/>
                <w:szCs w:val="28"/>
              </w:rPr>
            </w:pPr>
            <w:r>
              <w:rPr>
                <w:rFonts w:hint="eastAsia" w:ascii="微软雅黑" w:hAnsi="微软雅黑" w:eastAsia="微软雅黑" w:cs="微软雅黑"/>
                <w:bCs/>
                <w:sz w:val="28"/>
                <w:szCs w:val="28"/>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6" w:type="dxa"/>
            <w:noWrap w:val="0"/>
            <w:vAlign w:val="center"/>
          </w:tcPr>
          <w:p>
            <w:pPr>
              <w:pStyle w:val="5"/>
              <w:spacing w:after="0" w:line="276" w:lineRule="auto"/>
              <w:ind w:left="0" w:leftChars="0" w:firstLine="0" w:firstLineChars="0"/>
              <w:jc w:val="center"/>
              <w:rPr>
                <w:rFonts w:hint="eastAsia" w:ascii="微软雅黑" w:hAnsi="微软雅黑" w:eastAsia="微软雅黑" w:cs="微软雅黑"/>
                <w:bCs/>
                <w:sz w:val="28"/>
                <w:szCs w:val="28"/>
              </w:rPr>
            </w:pPr>
            <w:r>
              <w:rPr>
                <w:rFonts w:hint="eastAsia" w:ascii="微软雅黑" w:hAnsi="微软雅黑" w:eastAsia="微软雅黑" w:cs="微软雅黑"/>
                <w:bCs/>
                <w:sz w:val="28"/>
                <w:szCs w:val="28"/>
              </w:rPr>
              <w:t>1</w:t>
            </w:r>
          </w:p>
        </w:tc>
        <w:tc>
          <w:tcPr>
            <w:tcW w:w="1408" w:type="dxa"/>
            <w:noWrap w:val="0"/>
            <w:vAlign w:val="center"/>
          </w:tcPr>
          <w:p>
            <w:pPr>
              <w:widowControl/>
              <w:snapToGrid w:val="0"/>
              <w:spacing w:line="276" w:lineRule="auto"/>
              <w:jc w:val="center"/>
              <w:rPr>
                <w:rFonts w:hint="eastAsia"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报价25%</w:t>
            </w:r>
          </w:p>
        </w:tc>
        <w:tc>
          <w:tcPr>
            <w:tcW w:w="688" w:type="dxa"/>
            <w:noWrap w:val="0"/>
            <w:vAlign w:val="center"/>
          </w:tcPr>
          <w:p>
            <w:pPr>
              <w:widowControl/>
              <w:snapToGrid w:val="0"/>
              <w:spacing w:line="276" w:lineRule="auto"/>
              <w:rPr>
                <w:rFonts w:hint="eastAsia"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25分</w:t>
            </w:r>
          </w:p>
        </w:tc>
        <w:tc>
          <w:tcPr>
            <w:tcW w:w="5118" w:type="dxa"/>
            <w:noWrap w:val="0"/>
            <w:vAlign w:val="center"/>
          </w:tcPr>
          <w:p>
            <w:pPr>
              <w:pStyle w:val="5"/>
              <w:spacing w:after="0" w:line="276" w:lineRule="auto"/>
              <w:ind w:left="0" w:leftChars="0" w:firstLine="0" w:firstLineChars="0"/>
              <w:jc w:val="left"/>
              <w:rPr>
                <w:rFonts w:hint="eastAsia" w:ascii="微软雅黑" w:hAnsi="微软雅黑" w:eastAsia="微软雅黑" w:cs="微软雅黑"/>
                <w:bCs/>
                <w:kern w:val="0"/>
                <w:sz w:val="28"/>
                <w:szCs w:val="28"/>
              </w:rPr>
            </w:pPr>
            <w:r>
              <w:rPr>
                <w:rFonts w:hint="eastAsia" w:ascii="微软雅黑" w:hAnsi="微软雅黑" w:eastAsia="微软雅黑" w:cs="微软雅黑"/>
                <w:sz w:val="28"/>
                <w:szCs w:val="28"/>
              </w:rPr>
              <w:t>满足比选文件实质性要求且最低的报价为基准价，其价格分为满分。其他供应商的价格分统一按照下列公式计算：报价得分=(基准价／报价)* 25分</w:t>
            </w:r>
          </w:p>
        </w:tc>
        <w:tc>
          <w:tcPr>
            <w:tcW w:w="881" w:type="dxa"/>
            <w:noWrap w:val="0"/>
            <w:vAlign w:val="center"/>
          </w:tcPr>
          <w:p>
            <w:pPr>
              <w:snapToGrid w:val="0"/>
              <w:spacing w:line="276" w:lineRule="auto"/>
              <w:jc w:val="center"/>
              <w:rPr>
                <w:rFonts w:hint="eastAsia" w:ascii="微软雅黑" w:hAnsi="微软雅黑" w:eastAsia="微软雅黑" w:cs="微软雅黑"/>
                <w:b/>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center"/>
          </w:tcPr>
          <w:p>
            <w:pPr>
              <w:pStyle w:val="5"/>
              <w:spacing w:after="0" w:line="276" w:lineRule="auto"/>
              <w:ind w:left="0" w:leftChars="0" w:firstLine="0" w:firstLineChars="0"/>
              <w:jc w:val="center"/>
              <w:rPr>
                <w:rFonts w:hint="eastAsia" w:ascii="微软雅黑" w:hAnsi="微软雅黑" w:eastAsia="微软雅黑" w:cs="微软雅黑"/>
                <w:b/>
                <w:bCs/>
                <w:sz w:val="28"/>
                <w:szCs w:val="28"/>
              </w:rPr>
            </w:pPr>
            <w:r>
              <w:rPr>
                <w:rFonts w:hint="eastAsia" w:ascii="微软雅黑" w:hAnsi="微软雅黑" w:eastAsia="微软雅黑" w:cs="微软雅黑"/>
                <w:bCs/>
                <w:sz w:val="28"/>
                <w:szCs w:val="28"/>
              </w:rPr>
              <w:t>2</w:t>
            </w:r>
          </w:p>
        </w:tc>
        <w:tc>
          <w:tcPr>
            <w:tcW w:w="1408" w:type="dxa"/>
            <w:noWrap w:val="0"/>
            <w:vAlign w:val="center"/>
          </w:tcPr>
          <w:p>
            <w:pPr>
              <w:widowControl/>
              <w:snapToGrid w:val="0"/>
              <w:spacing w:line="276" w:lineRule="auto"/>
              <w:jc w:val="center"/>
              <w:rPr>
                <w:rFonts w:hint="eastAsia" w:ascii="微软雅黑" w:hAnsi="微软雅黑" w:eastAsia="微软雅黑" w:cs="微软雅黑"/>
                <w:b/>
                <w:bCs/>
                <w:sz w:val="28"/>
                <w:szCs w:val="28"/>
              </w:rPr>
            </w:pPr>
            <w:r>
              <w:rPr>
                <w:rFonts w:hint="eastAsia" w:ascii="微软雅黑" w:hAnsi="微软雅黑" w:eastAsia="微软雅黑" w:cs="微软雅黑"/>
                <w:bCs/>
                <w:kern w:val="0"/>
                <w:sz w:val="28"/>
                <w:szCs w:val="28"/>
              </w:rPr>
              <w:t>实施方案40%</w:t>
            </w:r>
          </w:p>
        </w:tc>
        <w:tc>
          <w:tcPr>
            <w:tcW w:w="688" w:type="dxa"/>
            <w:noWrap w:val="0"/>
            <w:vAlign w:val="center"/>
          </w:tcPr>
          <w:p>
            <w:pPr>
              <w:widowControl/>
              <w:snapToGrid w:val="0"/>
              <w:spacing w:line="276" w:lineRule="auto"/>
              <w:rPr>
                <w:rFonts w:hint="eastAsia" w:ascii="微软雅黑" w:hAnsi="微软雅黑" w:eastAsia="微软雅黑" w:cs="微软雅黑"/>
                <w:b/>
                <w:bCs/>
                <w:sz w:val="28"/>
                <w:szCs w:val="28"/>
              </w:rPr>
            </w:pPr>
            <w:r>
              <w:rPr>
                <w:rFonts w:hint="eastAsia" w:ascii="微软雅黑" w:hAnsi="微软雅黑" w:eastAsia="微软雅黑" w:cs="微软雅黑"/>
                <w:bCs/>
                <w:kern w:val="0"/>
                <w:sz w:val="28"/>
                <w:szCs w:val="28"/>
              </w:rPr>
              <w:t>40分</w:t>
            </w:r>
          </w:p>
        </w:tc>
        <w:tc>
          <w:tcPr>
            <w:tcW w:w="5118" w:type="dxa"/>
            <w:noWrap w:val="0"/>
            <w:vAlign w:val="center"/>
          </w:tcPr>
          <w:p>
            <w:pPr>
              <w:spacing w:line="440" w:lineRule="exact"/>
              <w:ind w:left="-38" w:firstLine="280" w:firstLineChars="100"/>
              <w:rPr>
                <w:rFonts w:hint="eastAsia" w:ascii="微软雅黑" w:hAnsi="微软雅黑" w:eastAsia="微软雅黑" w:cs="微软雅黑"/>
                <w:bCs/>
                <w:kern w:val="0"/>
                <w:sz w:val="28"/>
                <w:szCs w:val="28"/>
              </w:rPr>
            </w:pPr>
            <w:r>
              <w:rPr>
                <w:rFonts w:hint="eastAsia" w:ascii="微软雅黑" w:hAnsi="微软雅黑" w:eastAsia="微软雅黑" w:cs="微软雅黑"/>
                <w:bCs/>
                <w:sz w:val="28"/>
                <w:szCs w:val="28"/>
              </w:rPr>
              <w:t>供应商对项目的整体情况进行资料收集并结合本项目要求进行分析并提供实施方案，方案内容包括:（1）本项目的整体策划和工作重点；（2）本项目的具体实施方案；（3）服务人员配置计划及岗位职责、管理制度；（4）服务质量保障措施。上述内容满足本项目要求且合理的，得40分，每缺少一项扣10分，每有一处有瑕疵或错误（但不影响项目开展的）的扣5分，扣完为止。</w:t>
            </w:r>
          </w:p>
        </w:tc>
        <w:tc>
          <w:tcPr>
            <w:tcW w:w="881" w:type="dxa"/>
            <w:noWrap w:val="0"/>
            <w:vAlign w:val="center"/>
          </w:tcPr>
          <w:p>
            <w:pPr>
              <w:snapToGrid w:val="0"/>
              <w:spacing w:line="276" w:lineRule="auto"/>
              <w:jc w:val="center"/>
              <w:rPr>
                <w:rFonts w:hint="eastAsia" w:ascii="微软雅黑" w:hAnsi="微软雅黑" w:eastAsia="微软雅黑" w:cs="微软雅黑"/>
                <w:b/>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756" w:type="dxa"/>
            <w:noWrap w:val="0"/>
            <w:vAlign w:val="center"/>
          </w:tcPr>
          <w:p>
            <w:pPr>
              <w:pStyle w:val="5"/>
              <w:spacing w:after="0" w:line="276" w:lineRule="auto"/>
              <w:ind w:left="0" w:leftChars="0" w:firstLine="0" w:firstLineChars="0"/>
              <w:jc w:val="center"/>
              <w:rPr>
                <w:rFonts w:hint="eastAsia"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3</w:t>
            </w:r>
          </w:p>
        </w:tc>
        <w:tc>
          <w:tcPr>
            <w:tcW w:w="1408" w:type="dxa"/>
            <w:noWrap w:val="0"/>
            <w:vAlign w:val="center"/>
          </w:tcPr>
          <w:p>
            <w:pPr>
              <w:pStyle w:val="5"/>
              <w:spacing w:after="0" w:line="276" w:lineRule="auto"/>
              <w:ind w:left="0" w:leftChars="0" w:firstLine="0" w:firstLineChars="0"/>
              <w:jc w:val="center"/>
              <w:rPr>
                <w:rFonts w:hint="eastAsia"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人员配置</w:t>
            </w:r>
          </w:p>
          <w:p>
            <w:pPr>
              <w:pStyle w:val="5"/>
              <w:spacing w:after="0" w:line="276" w:lineRule="auto"/>
              <w:ind w:left="0" w:leftChars="0" w:firstLine="0" w:firstLineChars="0"/>
              <w:jc w:val="center"/>
              <w:rPr>
                <w:rFonts w:hint="eastAsia"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10％</w:t>
            </w:r>
          </w:p>
        </w:tc>
        <w:tc>
          <w:tcPr>
            <w:tcW w:w="688" w:type="dxa"/>
            <w:noWrap w:val="0"/>
            <w:vAlign w:val="center"/>
          </w:tcPr>
          <w:p>
            <w:pPr>
              <w:pStyle w:val="5"/>
              <w:spacing w:after="0" w:line="276" w:lineRule="auto"/>
              <w:ind w:left="0" w:leftChars="0" w:firstLine="0" w:firstLineChars="0"/>
              <w:jc w:val="left"/>
              <w:rPr>
                <w:rFonts w:hint="eastAsia"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10分</w:t>
            </w:r>
          </w:p>
        </w:tc>
        <w:tc>
          <w:tcPr>
            <w:tcW w:w="5118" w:type="dxa"/>
            <w:noWrap w:val="0"/>
            <w:vAlign w:val="center"/>
          </w:tcPr>
          <w:p>
            <w:pPr>
              <w:pStyle w:val="5"/>
              <w:spacing w:after="0" w:line="276" w:lineRule="auto"/>
              <w:ind w:left="0" w:leftChars="0" w:firstLine="0" w:firstLineChars="0"/>
              <w:jc w:val="left"/>
              <w:rPr>
                <w:rFonts w:hint="eastAsia"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供应商针对本项目投入的人员，具备3名专（兼）职工作人员得6分，每增加一人得2分，本项最多得10分。</w:t>
            </w:r>
          </w:p>
          <w:p>
            <w:pPr>
              <w:pStyle w:val="5"/>
              <w:spacing w:after="0" w:line="276" w:lineRule="auto"/>
              <w:ind w:left="0" w:leftChars="0" w:firstLine="0" w:firstLineChars="0"/>
              <w:jc w:val="left"/>
              <w:rPr>
                <w:rFonts w:hint="eastAsia"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（提供相应人员名单，并加盖供应商单位鲜章。）</w:t>
            </w:r>
          </w:p>
        </w:tc>
        <w:tc>
          <w:tcPr>
            <w:tcW w:w="881" w:type="dxa"/>
            <w:noWrap w:val="0"/>
            <w:vAlign w:val="center"/>
          </w:tcPr>
          <w:p>
            <w:pPr>
              <w:pStyle w:val="5"/>
              <w:spacing w:after="0" w:line="276" w:lineRule="auto"/>
              <w:ind w:left="0" w:leftChars="0" w:firstLine="0" w:firstLineChars="0"/>
              <w:jc w:val="center"/>
              <w:rPr>
                <w:rFonts w:hint="eastAsia" w:ascii="微软雅黑" w:hAnsi="微软雅黑" w:eastAsia="微软雅黑" w:cs="微软雅黑"/>
                <w:bCs/>
                <w:kern w:val="0"/>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center"/>
          </w:tcPr>
          <w:p>
            <w:pPr>
              <w:pStyle w:val="5"/>
              <w:spacing w:after="0" w:line="276" w:lineRule="auto"/>
              <w:ind w:left="0" w:leftChars="0" w:firstLine="0" w:firstLineChars="0"/>
              <w:jc w:val="center"/>
              <w:rPr>
                <w:rFonts w:hint="eastAsia" w:ascii="微软雅黑" w:hAnsi="微软雅黑" w:eastAsia="微软雅黑" w:cs="微软雅黑"/>
                <w:b/>
                <w:bCs/>
                <w:sz w:val="28"/>
                <w:szCs w:val="28"/>
              </w:rPr>
            </w:pPr>
            <w:r>
              <w:rPr>
                <w:rFonts w:hint="eastAsia" w:ascii="微软雅黑" w:hAnsi="微软雅黑" w:eastAsia="微软雅黑" w:cs="微软雅黑"/>
                <w:bCs/>
                <w:sz w:val="28"/>
                <w:szCs w:val="28"/>
              </w:rPr>
              <w:t>4</w:t>
            </w:r>
          </w:p>
        </w:tc>
        <w:tc>
          <w:tcPr>
            <w:tcW w:w="1408" w:type="dxa"/>
            <w:noWrap w:val="0"/>
            <w:vAlign w:val="center"/>
          </w:tcPr>
          <w:p>
            <w:pPr>
              <w:widowControl/>
              <w:snapToGrid w:val="0"/>
              <w:spacing w:line="276" w:lineRule="auto"/>
              <w:jc w:val="center"/>
              <w:rPr>
                <w:rFonts w:hint="eastAsia" w:ascii="微软雅黑" w:hAnsi="微软雅黑" w:eastAsia="微软雅黑" w:cs="微软雅黑"/>
                <w:b/>
                <w:bCs/>
                <w:sz w:val="28"/>
                <w:szCs w:val="28"/>
              </w:rPr>
            </w:pPr>
            <w:r>
              <w:rPr>
                <w:rFonts w:hint="eastAsia" w:ascii="微软雅黑" w:hAnsi="微软雅黑" w:eastAsia="微软雅黑" w:cs="微软雅黑"/>
                <w:bCs/>
                <w:sz w:val="28"/>
                <w:szCs w:val="28"/>
              </w:rPr>
              <w:t>履约能力25%</w:t>
            </w:r>
          </w:p>
        </w:tc>
        <w:tc>
          <w:tcPr>
            <w:tcW w:w="688" w:type="dxa"/>
            <w:noWrap w:val="0"/>
            <w:vAlign w:val="center"/>
          </w:tcPr>
          <w:p>
            <w:pPr>
              <w:widowControl/>
              <w:snapToGrid w:val="0"/>
              <w:spacing w:line="276" w:lineRule="auto"/>
              <w:rPr>
                <w:rFonts w:hint="eastAsia" w:ascii="微软雅黑" w:hAnsi="微软雅黑" w:eastAsia="微软雅黑" w:cs="微软雅黑"/>
                <w:b/>
                <w:bCs/>
                <w:sz w:val="28"/>
                <w:szCs w:val="28"/>
              </w:rPr>
            </w:pPr>
            <w:r>
              <w:rPr>
                <w:rFonts w:hint="eastAsia" w:ascii="微软雅黑" w:hAnsi="微软雅黑" w:eastAsia="微软雅黑" w:cs="微软雅黑"/>
                <w:bCs/>
                <w:kern w:val="0"/>
                <w:sz w:val="28"/>
                <w:szCs w:val="28"/>
              </w:rPr>
              <w:t>25分</w:t>
            </w:r>
          </w:p>
        </w:tc>
        <w:tc>
          <w:tcPr>
            <w:tcW w:w="5118" w:type="dxa"/>
            <w:noWrap w:val="0"/>
            <w:vAlign w:val="center"/>
          </w:tcPr>
          <w:p>
            <w:pPr>
              <w:pStyle w:val="5"/>
              <w:spacing w:after="0" w:line="276" w:lineRule="auto"/>
              <w:ind w:left="0" w:leftChars="0" w:firstLine="0" w:firstLineChars="0"/>
              <w:jc w:val="left"/>
              <w:rPr>
                <w:rFonts w:hint="eastAsia" w:ascii="微软雅黑" w:hAnsi="微软雅黑" w:eastAsia="微软雅黑" w:cs="微软雅黑"/>
                <w:bCs/>
                <w:kern w:val="0"/>
                <w:sz w:val="28"/>
                <w:szCs w:val="28"/>
              </w:rPr>
            </w:pPr>
            <w:r>
              <w:rPr>
                <w:rFonts w:hint="eastAsia" w:ascii="微软雅黑" w:hAnsi="微软雅黑" w:eastAsia="微软雅黑" w:cs="微软雅黑"/>
                <w:bCs/>
                <w:kern w:val="0"/>
                <w:sz w:val="28"/>
                <w:szCs w:val="28"/>
              </w:rPr>
              <w:t>提供2019年以来类似项目业绩，每提供一个得5分，最高得25分。不提供不得分。</w:t>
            </w:r>
          </w:p>
          <w:p>
            <w:pPr>
              <w:pStyle w:val="5"/>
              <w:spacing w:after="0" w:line="276" w:lineRule="auto"/>
              <w:ind w:left="0" w:leftChars="0" w:firstLine="0" w:firstLineChars="0"/>
              <w:jc w:val="left"/>
              <w:rPr>
                <w:rFonts w:hint="eastAsia" w:ascii="微软雅黑" w:hAnsi="微软雅黑" w:eastAsia="微软雅黑" w:cs="微软雅黑"/>
                <w:b/>
                <w:bCs/>
                <w:sz w:val="28"/>
                <w:szCs w:val="28"/>
              </w:rPr>
            </w:pPr>
            <w:r>
              <w:rPr>
                <w:rFonts w:hint="eastAsia" w:ascii="微软雅黑" w:hAnsi="微软雅黑" w:eastAsia="微软雅黑" w:cs="微软雅黑"/>
                <w:bCs/>
                <w:kern w:val="0"/>
                <w:sz w:val="28"/>
                <w:szCs w:val="28"/>
              </w:rPr>
              <w:t>注：类似业绩须提供成交通知书复印件或项目合同复印件或其他证明材料。</w:t>
            </w:r>
          </w:p>
        </w:tc>
        <w:tc>
          <w:tcPr>
            <w:tcW w:w="881" w:type="dxa"/>
            <w:noWrap w:val="0"/>
            <w:vAlign w:val="center"/>
          </w:tcPr>
          <w:p>
            <w:pPr>
              <w:spacing w:line="276" w:lineRule="auto"/>
              <w:jc w:val="center"/>
              <w:rPr>
                <w:rFonts w:hint="eastAsia" w:ascii="微软雅黑" w:hAnsi="微软雅黑" w:eastAsia="微软雅黑" w:cs="微软雅黑"/>
                <w:b/>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1" w:type="dxa"/>
            <w:gridSpan w:val="5"/>
            <w:noWrap w:val="0"/>
            <w:vAlign w:val="center"/>
          </w:tcPr>
          <w:p>
            <w:pPr>
              <w:spacing w:line="276" w:lineRule="auto"/>
              <w:jc w:val="left"/>
              <w:rPr>
                <w:rFonts w:hint="eastAsia" w:ascii="微软雅黑" w:hAnsi="微软雅黑" w:eastAsia="微软雅黑" w:cs="微软雅黑"/>
                <w:b/>
                <w:bCs/>
                <w:sz w:val="28"/>
                <w:szCs w:val="28"/>
              </w:rPr>
            </w:pPr>
            <w:r>
              <w:rPr>
                <w:rFonts w:hint="eastAsia" w:ascii="微软雅黑" w:hAnsi="微软雅黑" w:eastAsia="微软雅黑" w:cs="微软雅黑"/>
                <w:bCs/>
                <w:sz w:val="28"/>
                <w:szCs w:val="28"/>
              </w:rPr>
              <w:t xml:space="preserve">   注：瑕疵或错误是指：以上内容涉及的规范、标准、配置与本项目要求一致，符合本项目的采购需求。方案不存在不适用项目实际情况的情形、套用其它方案、凭空编造、逻辑漏洞、科学原理错误以及不可能实现的夸大情形等不合理情况。</w:t>
            </w:r>
          </w:p>
        </w:tc>
      </w:tr>
    </w:tbl>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二、响应文件的包装和标记</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（一）供应商应将响应文件用信封或文件袋（盒）密封，并在正面标明采购项目名称、联系人姓名及联系方式。</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（二）响应文件密封后，在封口上加盖供应商公章。</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（三）所有资料均需加盖供应商公章方才有效，并编制目录并装订成册。</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三、注意事项</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（一）响应文件需资料齐全，内容清晰，否则视为无效响应文件。</w:t>
      </w: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（二）报价表需单位法定代表人或经书面授权的授权代表签字。</w:t>
      </w:r>
    </w:p>
    <w:p>
      <w:pPr>
        <w:pStyle w:val="2"/>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pStyle w:val="4"/>
        <w:widowControl/>
        <w:wordWrap w:val="0"/>
        <w:spacing w:beforeAutospacing="0" w:afterAutospacing="0" w:line="579" w:lineRule="exact"/>
        <w:ind w:firstLine="560" w:firstLineChars="200"/>
        <w:rPr>
          <w:rFonts w:hint="eastAsia" w:ascii="微软雅黑" w:hAnsi="微软雅黑" w:eastAsia="微软雅黑" w:cs="微软雅黑"/>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NzU4MWEyMDRhNTU5Mzg0MGEzY2M1NDhkM2VhMTUifQ=="/>
  </w:docVars>
  <w:rsids>
    <w:rsidRoot w:val="7BFF505E"/>
    <w:rsid w:val="7BFF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before="60" w:after="60" w:line="360" w:lineRule="auto"/>
      <w:ind w:firstLine="200"/>
    </w:pPr>
    <w:rPr>
      <w:rFonts w:eastAsia="仿宋_GB2312"/>
      <w:sz w:val="32"/>
    </w:rPr>
  </w:style>
  <w:style w:type="paragraph" w:styleId="3">
    <w:name w:val="Body Text Indent"/>
    <w:basedOn w:val="1"/>
    <w:unhideWhenUsed/>
    <w:qFormat/>
    <w:uiPriority w:val="99"/>
    <w:pPr>
      <w:spacing w:after="120"/>
      <w:ind w:left="420" w:leftChars="200"/>
    </w:pPr>
    <w:rPr>
      <w:rFonts w:ascii="Times New Roman" w:hAnsi="Times New Roman"/>
      <w:szCs w:val="20"/>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Body Text First Indent 2"/>
    <w:basedOn w:val="3"/>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2024-05-15T01:57:00Z</dcterms:created>
  <dc:creator>ZH</dc:creator>
  <cp:lastModifiedBy>ZH</cp:lastModifiedBy>
  <dcterms:modified xsi:type="dcterms:W3CDTF">2024-05-15T01:58:35Z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5A642309A0914ED1A8EBB0050DA3908E_11</vt:lpwstr>
  </property>
</Properties>
</file>